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742d1_6k.htm"/>
      <w:bookmarkStart w:id="1" w:name="kstm262474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Baird Medical Investment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202, 2/F, Baide Building, Building 11, No.15</w:t>
        <w:br/>
        <w:t>Rongtong Street, Yuexiu District, Guangzhou,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965"/>
        <w:gridCol w:w="230"/>
        <w:gridCol w:w="60"/>
        <w:gridCol w:w="950"/>
        <w:gridCol w:w="230"/>
        <w:gridCol w:w="75"/>
      </w:tblGrid>
      <w:tr>
        <w:trPr/>
        <w:tc>
          <w:tcPr>
            <w:tcW w:w="9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Form 20-F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Form 40-F  </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document attached as Exhibit 99.1 to this Form 6-K is hereby incorporated by reference into the registrant’s registration statements on (1) </w:t>
      </w:r>
      <w:hyperlink r:id="rId2">
        <w:r>
          <w:rPr>
            <w:rStyle w:val="InternetLink"/>
            <w:rFonts w:ascii="Times New Roman;Times;Serif" w:hAnsi="Times New Roman;Times;Serif"/>
            <w:b w:val="false"/>
            <w:i w:val="false"/>
            <w:caps w:val="false"/>
            <w:smallCaps w:val="false"/>
            <w:sz w:val="20"/>
          </w:rPr>
          <w:t>Form F-3, as amended</w:t>
        </w:r>
      </w:hyperlink>
      <w:r>
        <w:rPr>
          <w:rFonts w:ascii="Times New Roman;Times;Serif" w:hAnsi="Times New Roman;Times;Serif"/>
          <w:b w:val="false"/>
          <w:i w:val="false"/>
          <w:caps w:val="false"/>
          <w:smallCaps w:val="false"/>
          <w:sz w:val="20"/>
        </w:rPr>
        <w:t xml:space="preserve">, initially filed with the U.S. Securities and Exchange Commission (the “Commission”) on May 22, 2026 (Registration No. 333-296153), and (2) Form F-1, as amended, initially filed with the Commission on November 15, 2024, including </w:t>
      </w:r>
      <w:hyperlink r:id="rId3">
        <w:r>
          <w:rPr>
            <w:rStyle w:val="InternetLink"/>
            <w:rFonts w:ascii="Times New Roman;Times;Serif" w:hAnsi="Times New Roman;Times;Serif"/>
            <w:b w:val="false"/>
            <w:i w:val="false"/>
            <w:caps w:val="false"/>
            <w:smallCaps w:val="false"/>
            <w:sz w:val="20"/>
          </w:rPr>
          <w:t>Post-Effective Amendment No. 2 to Form F-1 on Form F-3</w:t>
        </w:r>
      </w:hyperlink>
      <w:r>
        <w:rPr>
          <w:rFonts w:ascii="Times New Roman;Times;Serif" w:hAnsi="Times New Roman;Times;Serif"/>
          <w:b w:val="false"/>
          <w:i w:val="false"/>
          <w:caps w:val="false"/>
          <w:smallCaps w:val="false"/>
          <w:sz w:val="20"/>
        </w:rPr>
        <w:t xml:space="preserve"> filed with the Commission on August 6, 2026 (Registration No. 333-283249), and shall be a part thereof from the date on which this Form 6-K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75"/>
        <w:gridCol w:w="820"/>
        <w:gridCol w:w="3054"/>
      </w:tblGrid>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Dated: September 3, 2026</w:t>
            </w:r>
          </w:p>
        </w:tc>
      </w:tr>
      <w:tr>
        <w:trPr/>
        <w:tc>
          <w:tcPr>
            <w:tcW w:w="7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pPr>
            <w:r>
              <w:rPr/>
              <w:t> </w:t>
            </w:r>
          </w:p>
        </w:tc>
        <w:tc>
          <w:tcPr>
            <w:tcW w:w="305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Haimei Wu</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Haimei Wu</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Chairwoman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28" w:type="dxa"/>
          <w:right w:w="0" w:type="dxa"/>
        </w:tblCellMar>
      </w:tblPr>
      <w:tblGrid>
        <w:gridCol w:w="725"/>
        <w:gridCol w:w="60"/>
        <w:gridCol w:w="132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w:t>
              <w:br/>
              <w:t>Number</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hyperlink w:anchor="tm262474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hyperlink w:anchor="tm2624742d1_ex99-1.htm">
              <w:r>
                <w:rPr>
                  <w:rStyle w:val="InternetLink"/>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 w:name="tm2624742d1_ex99-1.htm"/>
      <w:bookmarkStart w:id="3" w:name="kstm2624742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Baird Medical Reports 25% Revenue Growth and Positive Net Income for Six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increase driven by significant growth in the United States and other strategic markets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September 3, 2026 (GLOBE NEWSWIRE) -- Baird Medical Investment Holdings Ltd. (NASDAQ: BDMD) (“Baird Medical” or the “Company”), today announced preliminary unaudited financial results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first half of 2026 was approximately $9.9 million, an increase of 24.6% over $8.0 million reported for the six months ended June 30, 2025. The increase in revenue was primarily attributable to growth outside of the People’s Republic of China, including in the United States, as well as licensing revenue. Approximately two thirds of revenue for the period was generated from markets outside of the PRC, with Hong Kong and the U.S. being the main contributing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period was $8.6 million, an increase of 32.0% compared to $6.5 million in the first half of 2025. Gross margin was 87.0% for the six months ended June 30, 2026, compared to 82.1% for the prior-year period. The increase in gross margin was primarily attributable to shifts in both the geographic breakdown of sales and revenue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period were $7.8 million, compared with $17.0 million in the first half of 2025, primarily attributable to significant reductions in both Research and Development and General and Administrative expenses, partially offset by an increase in Selling and Marketing expenses associated with the ongoing commercial ramp in the United States and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period was approximately $14,000, compared to a net loss of $(11.4) million in the first half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achieved approximately $1.6 million in EBITDA, with adjusted EBITDA of approximately $4.0 million for the first half of 2026. This compares with EBITDA and adjusted EBITDA of $(9.7) million and $(3.3) million in same period last year. The growth in EBITDA and adjusted EBITDA was mainly attributable to increased gross profit and reduced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top-line growth we achieved in the first half of 2026 reflects the continued, successful execution of our international growth strategy as well as ongoing progress toward the diversification of our revenue base beyond our core MWA technology. Moreover, the positive net income, EBITDA and adjusted EBITDA for the period are a clear indication of improvement in operating performance,” said Haimei Wu, Chairwoman and CEO of Baird Medical. “With approximately 27% of our first half revenue coming from the U.S. compared to less than 2% in the first half of 2025, we believe that our expanded commercial efforts are beginning to generate tangible results as we continue to increase our presence and deepen engagement with physicians and healthcare institutions, driving awareness of the benefits of our minimally invasive approach to tumor ablation. As we build on our established global footprint, demonstrated by recent expansions in </w:t>
      </w:r>
      <w:r>
        <w:rPr>
          <w:rFonts w:ascii="Times New Roman;Times;Serif" w:hAnsi="Times New Roman;Times;Serif"/>
          <w:b w:val="false"/>
          <w:i w:val="false"/>
          <w:caps w:val="false"/>
          <w:smallCaps w:val="false"/>
          <w:sz w:val="20"/>
          <w:u w:val="single"/>
        </w:rPr>
        <w:t>Argentina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Vietnam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Pakistan</w:t>
      </w:r>
      <w:r>
        <w:rPr>
          <w:rFonts w:ascii="Times New Roman;Times;Serif" w:hAnsi="Times New Roman;Times;Serif"/>
          <w:b w:val="false"/>
          <w:i w:val="false"/>
          <w:caps w:val="false"/>
          <w:smallCaps w:val="false"/>
          <w:sz w:val="20"/>
        </w:rPr>
        <w:t>, we believe this growth positions us well for continued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U.S. commercial expansion is progressing ahead of plan, as we have expanded our sales team and now have coverage in multiple key territories,” added Mark Saxton, Chief Executive Officer of Baird Medical’s U.S. subsidiary. “We remain confident in the potential of the U.S. market and are deeply committed to expanding not only our business but the overall MWA market as we continue to move ahead. While the opportunity in MWA is significant, we are working to further expand our product offering to generate further value for our physician partners. These R&amp;D initiatives are progressing, and we anticipate submitting multiple additional products for regulatory clearances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financial information presented in this release is preliminary and unaudited, and remains subject to year-end closing adjustment, if 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Financial Measures:</w:t>
      </w:r>
      <w:r>
        <w:rPr>
          <w:rFonts w:ascii="Times New Roman;Times;Serif" w:hAnsi="Times New Roman;Times;Serif"/>
          <w:b w:val="false"/>
          <w:i w:val="false"/>
          <w:caps w:val="false"/>
          <w:smallCaps w:val="false"/>
          <w:sz w:val="20"/>
        </w:rPr>
        <w:t xml:space="preserve"> The Company prepares and analyzes operating and financial data and non-GAAP measures to assess the performance of its business, make strategic and offering decisions and build its financial projections. The key non-GAAP measures it uses are EBITDA and Adjusted EBITDA. EBITDA is defined as net income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provides meaningful supplemental information for investors when evaluating our results and comparing us to peer companies as stock-based compensation expense represents a significant non-cash charge.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EBITDA and Adjusted EBITDA to their most comparable GAAP financial measure are set forth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2825"/>
        <w:gridCol w:w="60"/>
        <w:gridCol w:w="125"/>
        <w:gridCol w:w="845"/>
        <w:gridCol w:w="60"/>
        <w:gridCol w:w="60"/>
        <w:gridCol w:w="125"/>
        <w:gridCol w:w="1010"/>
        <w:gridCol w:w="9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(11,359,127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682,559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789,932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559,131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Interest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357,453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1,568,077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(9,652,611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6,328,781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3,953,077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(3,323,830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Baird Medical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Baird Medical is a global, pioneering medical device company specializing in minimally invasive ablation technologies for a range of solid tumors. The Company’s lead product, a microwave ablation (MWA) system, is FDA-cleared for soft tissue ablation and is being launched in the U.S. primarily for the treatment of benign thyroid nodules. In addition, the Company is expanding its minimally invasive technology portfolio, including IRE-based products and an AI-powered robotic ablation system.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Baird Medical's MWA solutions have been adopted by a growing number of leading U.S. institutions and private practice groups, including the Mayo Clinic, Columbia University Medical Center, and The George Washington University Hospital. The company is rapidly expanding its global commercial footprint, with sales now reaching markets across multiple continents.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certain statements that are not historical facts but are forward-looking statements for purposes of the safe harbor provisions under the United States Private Securities Litigation Reform Act of 1995. Forward-looking statements generally relate to future events or Baird Medical's future financial or operating performance. In some cases, you can identify forward-looking statements by terminology such as "may", "could", "should", "expect", "intend", "might", "will", "estimate", "anticipate", "believe", "budget", "forecast", "intend", "plan", "potential", "predict", or "continue", or the negatives of these terms or variations of them or similar terminology.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Baird Medical and its management, are inherently uncertain. New risks and uncertainties may emerge from time to time, and it is not possible to predict all risks and uncertainties. You should not place undue reliance on forward-looking statements in this press release, which speak only as of the date they are made and are qualified in their entirety by reference to the cautionary statements herein. Baird Medical does not undertake any duty to update these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vary materially from those expressed or implied by forward-looking statements based on a number of factors, including, without limitation: (1) the risk that Baird Medical may not be successful in expanding its business in China or the United States; (2) changes in general economic conditions; (3) regulatory conditions and developments; (4) changes in applicable laws or regulations; (5) the nature, cost and outcome of pending and future litigation and other legal proceedings instituted against Baird Medical or others; and (6) other risks and uncertainties from time to time described in the Registration Statement relating to the Business Combination and the transition report, including those listed under the sections titled "Risk Factors" therein, and in ExcelFin's other filings with the SEC.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exclusive. Additional information concerning certain of these, and other risk factors is contained in ExcelFin's most recent filings with the SEC and in the Registration Statement described above filed by Baird Medical in connection with its business combination with ExcelFin. All subsequent written and oral forward-looking statements concerning Baird Medical, the business combination described herein, or other matters attributable to Baird Medical or any person acting on its behalf are expressly qualified in their entirety by the cautionary statements above. Readers are cautioned not to place undue reliance upon any forward-looking statements, which speak only as of the date made. Baird Medical expressly disclaims any obligations or undertaking to release publicly any updates or revisions to any forward-looking statements contained herein to reflect any change in its expectations with respect thereto or any change in events, conditions or circumstances on which any statement is based.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Roth</w:t>
        <w:br/>
        <w:t>Burns McClellan for Baird Medical</w:t>
        <w:br/>
        <w:t>Lroth@burnsmc.com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BAIRD MEDICAL INVESTMENT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dollars, or otherwise noted)</w:t>
      </w:r>
    </w:p>
    <w:p>
      <w:pPr>
        <w:pStyle w:val="TextBody"/>
        <w:bidi w:val="0"/>
        <w:spacing w:before="0" w:after="0"/>
        <w:ind w:left="0" w:right="0" w:hanging="0"/>
        <w:jc w:val="center"/>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3875"/>
        <w:gridCol w:w="60"/>
        <w:gridCol w:w="68"/>
        <w:gridCol w:w="1076"/>
        <w:gridCol w:w="80"/>
        <w:gridCol w:w="60"/>
        <w:gridCol w:w="97"/>
        <w:gridCol w:w="1542"/>
        <w:gridCol w:w="95"/>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sz w:val="20"/>
              </w:rPr>
            </w:pPr>
            <w:r>
              <w:rPr>
                <w:sz w:val="20"/>
              </w:rPr>
              <w:t>Cash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565,817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Accounts receivable, net-current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30,681,684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42,528,919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1,085,783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Prepayments, deposits and other assets -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13,079,738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10,786,012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45,086,841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54,969,518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28,763,062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14,731,497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73,849,903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69,701,015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sz w:val="20"/>
              </w:rPr>
            </w:pPr>
            <w:r>
              <w:rPr>
                <w:sz w:val="20"/>
              </w:rPr>
              <w:t>Short-term loan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10,760,200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10,431,850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Accounts payable due to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1,805,042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Long-term loans,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3,320,980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2,637,036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Contract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2,443,962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793,412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Accrued expenses and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9,852,098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8,585,754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Tax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3,494,455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3,098,410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Amounts due to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3,540,857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4,888,289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Lease liability due within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34,902,327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32,363,582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4,321,856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6,113,891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39,224,183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38,477,473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31,043,399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28,658,524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Statutory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4,593,955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4,593,312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vAlign w:val="center"/>
          </w:tcPr>
          <w:p>
            <w:pPr>
              <w:pStyle w:val="TableContents"/>
              <w:bidi w:val="0"/>
              <w:spacing w:before="0" w:after="283"/>
              <w:jc w:val="left"/>
              <w:rPr>
                <w:sz w:val="20"/>
              </w:rPr>
            </w:pPr>
            <w:r>
              <w:rPr>
                <w:sz w:val="20"/>
              </w:rPr>
              <w:t>Accumulated deficits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(480,653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(515,415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CCEEFF" w:val="clear"/>
            <w:vAlign w:val="center"/>
          </w:tcPr>
          <w:p>
            <w:pPr>
              <w:pStyle w:val="TableContents"/>
              <w:bidi w:val="0"/>
              <w:spacing w:before="0" w:after="283"/>
              <w:jc w:val="left"/>
              <w:rPr>
                <w:sz w:val="20"/>
              </w:rPr>
            </w:pPr>
            <w:r>
              <w:rPr>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(385,905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(1,371,894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controlling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34,774,025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31,367,631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sz w:val="20"/>
              </w:rPr>
            </w:pPr>
            <w:r>
              <w:rPr>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(148,305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(144,089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34,625,720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31,223,542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73,849,903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69,701,015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BAIRD MEDICAL INVESTMENT HOLDINGS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U.S. dollars, or otherwise noted)</w:t>
      </w:r>
    </w:p>
    <w:p>
      <w:pPr>
        <w:pStyle w:val="TextBody"/>
        <w:bidi w:val="0"/>
        <w:spacing w:before="0" w:after="0"/>
        <w:ind w:left="0" w:right="0" w:hanging="0"/>
        <w:jc w:val="left"/>
        <w:rPr>
          <w:caps w:val="false"/>
          <w:smallCaps w:val="false"/>
        </w:rPr>
      </w:pPr>
      <w:r>
        <w:rPr>
          <w:caps w:val="false"/>
          <w:smallCaps w:val="false"/>
        </w:rPr>
        <w:t> </w:t>
      </w:r>
    </w:p>
    <w:tbl>
      <w:tblPr>
        <w:tblW w:w="6221" w:type="dxa"/>
        <w:jc w:val="left"/>
        <w:tblInd w:w="0" w:type="dxa"/>
        <w:tblLayout w:type="fixed"/>
        <w:tblCellMar>
          <w:top w:w="0" w:type="dxa"/>
          <w:left w:w="0" w:type="dxa"/>
          <w:bottom w:w="0" w:type="dxa"/>
          <w:right w:w="0" w:type="dxa"/>
        </w:tblCellMar>
      </w:tblPr>
      <w:tblGrid>
        <w:gridCol w:w="3005"/>
        <w:gridCol w:w="60"/>
        <w:gridCol w:w="77"/>
        <w:gridCol w:w="1174"/>
        <w:gridCol w:w="240"/>
        <w:gridCol w:w="77"/>
        <w:gridCol w:w="77"/>
        <w:gridCol w:w="1311"/>
        <w:gridCol w:w="200"/>
      </w:tblGrid>
      <w:tr>
        <w:trPr/>
        <w:tc>
          <w:tcPr>
            <w:tcW w:w="30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38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9,915,407</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7,959,494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(1,291,612</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(1,424,240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8,623,795</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6,535,254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(2,984,101</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(1,127,725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(1,391,913</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(7,180,293</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(3,400,975</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(8,677,640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(7,776,989</w:t>
            </w:r>
          </w:p>
        </w:tc>
        <w:tc>
          <w:tcPr>
            <w:tcW w:w="2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(16,985,658</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846,806</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(10,450,404</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net: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23,417</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(334,689</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(358,215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38,712</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(272,560</w:t>
            </w:r>
          </w:p>
        </w:tc>
        <w:tc>
          <w:tcPr>
            <w:tcW w:w="2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(349,592</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574,246</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(10,799,996</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(560,747</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(559,131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13,499</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(11,359,127</w:t>
            </w:r>
          </w:p>
        </w:tc>
        <w:tc>
          <w:tcPr>
            <w:tcW w:w="2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2444/000110465926091972/tm2621907-1_f3a.htm" TargetMode="External"/><Relationship Id="rId3" Type="http://schemas.openxmlformats.org/officeDocument/2006/relationships/hyperlink" Target="https://www.sec.gov/Archives/edgar/data/1982444/000110465926091986/tm2622007-1_posam.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2172</Words>
  <Characters>12628</Characters>
  <CharactersWithSpaces>15013</CharactersWithSpaces>
  <Paragraphs>755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