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0"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22, 2026</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333-283249​</w:t>
      </w:r>
    </w:p>
    <w:p>
      <w:pPr>
        <w:ind w:left="500"/>
        <w:spacing w:after="0" w:line="219" w:lineRule="auto"/>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6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459"/>
        <w:spacing w:after="0" w:line="215"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43180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Post-effective Amendment No. 1</w:t>
      </w:r>
    </w:p>
    <w:p>
      <w:pPr>
        <w:spacing w:after="0" w:line="2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FORM F-1</w:t>
      </w:r>
    </w:p>
    <w:p>
      <w:pPr>
        <w:spacing w:after="0" w:line="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on</w:t>
      </w: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FORM F-3</w:t>
      </w:r>
    </w:p>
    <w:p>
      <w:pPr>
        <w:jc w:val="center"/>
        <w:ind w:right="-419"/>
        <w:spacing w:after="0" w:line="222" w:lineRule="auto"/>
        <w:rPr>
          <w:sz w:val="20"/>
          <w:szCs w:val="20"/>
          <w:color w:val="auto"/>
        </w:rPr>
      </w:pPr>
      <w:r>
        <w:rPr>
          <w:rFonts w:ascii="Times New Roman" w:cs="Times New Roman" w:eastAsia="Times New Roman" w:hAnsi="Times New Roman"/>
          <w:sz w:val="16"/>
          <w:szCs w:val="16"/>
          <w:b w:val="1"/>
          <w:bCs w:val="1"/>
          <w:color w:val="auto"/>
        </w:rPr>
        <w:t>REGISTRATION STATEMENT</w:t>
      </w:r>
    </w:p>
    <w:p>
      <w:pPr>
        <w:jc w:val="center"/>
        <w:ind w:right="-419"/>
        <w:spacing w:after="0" w:line="229" w:lineRule="auto"/>
        <w:rPr>
          <w:sz w:val="20"/>
          <w:szCs w:val="20"/>
          <w:color w:val="auto"/>
        </w:rPr>
      </w:pPr>
      <w:r>
        <w:rPr>
          <w:rFonts w:ascii="Times New Roman" w:cs="Times New Roman" w:eastAsia="Times New Roman" w:hAnsi="Times New Roman"/>
          <w:sz w:val="16"/>
          <w:szCs w:val="16"/>
          <w:b w:val="1"/>
          <w:bCs w:val="1"/>
          <w:i w:val="1"/>
          <w:iCs w:val="1"/>
          <w:color w:val="auto"/>
        </w:rPr>
        <w:t>UNDER</w:t>
      </w:r>
    </w:p>
    <w:p>
      <w:pPr>
        <w:ind w:left="4240"/>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68" w:lineRule="exact"/>
        <w:rPr>
          <w:sz w:val="24"/>
          <w:szCs w:val="24"/>
          <w:color w:val="auto"/>
        </w:rPr>
      </w:pPr>
    </w:p>
    <w:tbl>
      <w:tblPr>
        <w:tblLayout w:type="fixed"/>
        <w:tblInd w:w="500" w:type="dxa"/>
        <w:tblCellMar>
          <w:top w:w="0" w:type="dxa"/>
          <w:left w:w="0" w:type="dxa"/>
          <w:bottom w:w="0" w:type="dxa"/>
          <w:right w:w="0" w:type="dxa"/>
        </w:tblCellMar>
      </w:tblPr>
      <w:tr>
        <w:trPr>
          <w:trHeight w:val="20"/>
        </w:trPr>
        <w:tc>
          <w:tcPr>
            <w:tcW w:w="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tcPr>
          <w:p>
            <w:pPr>
              <w:spacing w:after="0"/>
              <w:rPr>
                <w:sz w:val="19"/>
                <w:szCs w:val="19"/>
                <w:color w:val="auto"/>
              </w:rPr>
            </w:pPr>
          </w:p>
        </w:tc>
        <w:tc>
          <w:tcPr>
            <w:tcW w:w="8140" w:type="dxa"/>
            <w:vAlign w:val="bottom"/>
            <w:gridSpan w:val="5"/>
          </w:tcPr>
          <w:p>
            <w:pPr>
              <w:ind w:left="1820"/>
              <w:spacing w:after="0" w:line="223" w:lineRule="exact"/>
              <w:rPr>
                <w:sz w:val="20"/>
                <w:szCs w:val="20"/>
                <w:color w:val="auto"/>
              </w:rPr>
            </w:pPr>
            <w:r>
              <w:rPr>
                <w:rFonts w:ascii="Times New Roman" w:cs="Times New Roman" w:eastAsia="Times New Roman" w:hAnsi="Times New Roman"/>
                <w:sz w:val="25"/>
                <w:szCs w:val="25"/>
                <w:b w:val="1"/>
                <w:bCs w:val="1"/>
                <w:color w:val="auto"/>
              </w:rPr>
              <w:t>Baird Medical Investment Holdings Limited</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5800" w:type="dxa"/>
            <w:vAlign w:val="bottom"/>
            <w:gridSpan w:val="4"/>
          </w:tcPr>
          <w:p>
            <w:pPr>
              <w:jc w:val="center"/>
              <w:ind w:left="235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7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2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4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c>
          <w:tcPr>
            <w:tcW w:w="2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(Translation of registrant’s name into English)</w:t>
            </w:r>
          </w:p>
        </w:tc>
        <w:tc>
          <w:tcPr>
            <w:tcW w:w="2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660" w:type="dxa"/>
            <w:vAlign w:val="bottom"/>
            <w:vMerge w:val="restart"/>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w w:val="95"/>
              </w:rPr>
              <w:t>Cayman Islands</w:t>
            </w:r>
          </w:p>
        </w:tc>
        <w:tc>
          <w:tcPr>
            <w:tcW w:w="5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700" w:type="dxa"/>
            <w:vAlign w:val="bottom"/>
            <w:vMerge w:val="restart"/>
          </w:tcPr>
          <w:p>
            <w:pPr>
              <w:spacing w:after="0"/>
              <w:rPr>
                <w:sz w:val="3"/>
                <w:szCs w:val="3"/>
                <w:color w:val="auto"/>
              </w:rPr>
            </w:pPr>
          </w:p>
        </w:tc>
        <w:tc>
          <w:tcPr>
            <w:tcW w:w="2340" w:type="dxa"/>
            <w:vAlign w:val="bottom"/>
            <w:vMerge w:val="restart"/>
          </w:tcPr>
          <w:p>
            <w:pPr>
              <w:jc w:val="center"/>
              <w:ind w:right="665"/>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c>
          <w:tcPr>
            <w:tcW w:w="880" w:type="dxa"/>
            <w:vAlign w:val="bottom"/>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33"/>
        </w:trPr>
        <w:tc>
          <w:tcPr>
            <w:tcW w:w="740" w:type="dxa"/>
            <w:vAlign w:val="bottom"/>
            <w:vMerge w:val="continue"/>
          </w:tcPr>
          <w:p>
            <w:pPr>
              <w:spacing w:after="0"/>
              <w:rPr>
                <w:sz w:val="11"/>
                <w:szCs w:val="11"/>
                <w:color w:val="auto"/>
              </w:rPr>
            </w:pPr>
          </w:p>
        </w:tc>
        <w:tc>
          <w:tcPr>
            <w:tcW w:w="26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jc w:val="center"/>
              <w:spacing w:after="0" w:line="133" w:lineRule="exact"/>
              <w:rPr>
                <w:sz w:val="20"/>
                <w:szCs w:val="20"/>
                <w:color w:val="auto"/>
              </w:rPr>
            </w:pPr>
            <w:r>
              <w:rPr>
                <w:rFonts w:ascii="Times New Roman" w:cs="Times New Roman" w:eastAsia="Times New Roman" w:hAnsi="Times New Roman"/>
                <w:sz w:val="15"/>
                <w:szCs w:val="15"/>
                <w:b w:val="1"/>
                <w:bCs w:val="1"/>
                <w:color w:val="auto"/>
              </w:rPr>
              <w:t>​ ​</w:t>
            </w:r>
          </w:p>
        </w:tc>
        <w:tc>
          <w:tcPr>
            <w:tcW w:w="70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jc w:val="center"/>
              <w:ind w:left="475"/>
              <w:spacing w:after="0" w:line="158"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00" w:type="dxa"/>
            <w:vAlign w:val="bottom"/>
          </w:tcPr>
          <w:p>
            <w:pPr>
              <w:spacing w:after="0"/>
              <w:rPr>
                <w:sz w:val="13"/>
                <w:szCs w:val="13"/>
                <w:color w:val="auto"/>
              </w:rPr>
            </w:pPr>
          </w:p>
        </w:tc>
        <w:tc>
          <w:tcPr>
            <w:tcW w:w="2640" w:type="dxa"/>
            <w:vAlign w:val="bottom"/>
            <w:gridSpan w:val="2"/>
          </w:tcPr>
          <w:p>
            <w:pPr>
              <w:jc w:val="center"/>
              <w:ind w:right="700"/>
              <w:spacing w:after="0" w:line="158" w:lineRule="exact"/>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center"/>
              <w:ind w:right="705"/>
              <w:spacing w:after="0" w:line="158" w:lineRule="exact"/>
              <w:rPr>
                <w:sz w:val="20"/>
                <w:szCs w:val="20"/>
                <w:color w:val="auto"/>
              </w:rPr>
            </w:pPr>
            <w:r>
              <w:rPr>
                <w:rFonts w:ascii="Times New Roman" w:cs="Times New Roman" w:eastAsia="Times New Roman" w:hAnsi="Times New Roman"/>
                <w:sz w:val="14"/>
                <w:szCs w:val="14"/>
                <w:color w:val="auto"/>
              </w:rPr>
              <w:t>(I.R.S. Employer</w:t>
            </w:r>
          </w:p>
        </w:tc>
        <w:tc>
          <w:tcPr>
            <w:tcW w:w="880" w:type="dxa"/>
            <w:vAlign w:val="bottom"/>
          </w:tcPr>
          <w:p>
            <w:pPr>
              <w:ind w:left="8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2660" w:type="dxa"/>
            <w:vAlign w:val="bottom"/>
          </w:tcPr>
          <w:p>
            <w:pPr>
              <w:jc w:val="center"/>
              <w:ind w:left="555"/>
              <w:spacing w:after="0"/>
              <w:rPr>
                <w:sz w:val="20"/>
                <w:szCs w:val="20"/>
                <w:color w:val="auto"/>
              </w:rPr>
            </w:pPr>
            <w:r>
              <w:rPr>
                <w:rFonts w:ascii="Times New Roman" w:cs="Times New Roman" w:eastAsia="Times New Roman" w:hAnsi="Times New Roman"/>
                <w:sz w:val="14"/>
                <w:szCs w:val="14"/>
                <w:color w:val="auto"/>
              </w:rPr>
              <w:t>incorporation or organization)</w:t>
            </w: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40" w:type="dxa"/>
            <w:vAlign w:val="bottom"/>
          </w:tcPr>
          <w:p>
            <w:pPr>
              <w:jc w:val="center"/>
              <w:ind w:right="665"/>
              <w:spacing w:after="0"/>
              <w:rPr>
                <w:sz w:val="20"/>
                <w:szCs w:val="20"/>
                <w:color w:val="auto"/>
              </w:rPr>
            </w:pPr>
            <w:r>
              <w:rPr>
                <w:rFonts w:ascii="Times New Roman" w:cs="Times New Roman" w:eastAsia="Times New Roman" w:hAnsi="Times New Roman"/>
                <w:sz w:val="14"/>
                <w:szCs w:val="14"/>
                <w:color w:val="auto"/>
              </w:rPr>
              <w:t>Identification Number)</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Room 202, 2/F, Baide Building, Building 11, No. 15</w:t>
      </w:r>
    </w:p>
    <w:p>
      <w:pPr>
        <w:jc w:val="center"/>
        <w:ind w:right="-419"/>
        <w:spacing w:after="0" w:line="228" w:lineRule="auto"/>
        <w:rPr>
          <w:sz w:val="20"/>
          <w:szCs w:val="20"/>
          <w:color w:val="auto"/>
        </w:rPr>
      </w:pPr>
      <w:r>
        <w:rPr>
          <w:rFonts w:ascii="Times New Roman" w:cs="Times New Roman" w:eastAsia="Times New Roman" w:hAnsi="Times New Roman"/>
          <w:sz w:val="16"/>
          <w:szCs w:val="16"/>
          <w:b w:val="1"/>
          <w:bCs w:val="1"/>
          <w:color w:val="auto"/>
        </w:rPr>
        <w:t>Rongtong Street, Yuexiu District, Guangzhou, Peoples Republic of China</w:t>
      </w:r>
    </w:p>
    <w:p>
      <w:pPr>
        <w:jc w:val="center"/>
        <w:ind w:right="-459"/>
        <w:spacing w:after="0" w:line="180" w:lineRule="auto"/>
        <w:rPr>
          <w:sz w:val="20"/>
          <w:szCs w:val="20"/>
          <w:color w:val="auto"/>
        </w:rPr>
      </w:pPr>
      <w:r>
        <w:rPr>
          <w:rFonts w:ascii="Times New Roman" w:cs="Times New Roman" w:eastAsia="Times New Roman" w:hAnsi="Times New Roman"/>
          <w:sz w:val="16"/>
          <w:szCs w:val="16"/>
          <w:b w:val="1"/>
          <w:bCs w:val="1"/>
          <w:color w:val="auto"/>
        </w:rPr>
        <w:t>(86) 20 8218-5926</w:t>
      </w:r>
    </w:p>
    <w:p>
      <w:pPr>
        <w:jc w:val="center"/>
        <w:ind w:right="-439"/>
        <w:spacing w:after="0"/>
        <w:rPr>
          <w:sz w:val="20"/>
          <w:szCs w:val="20"/>
          <w:color w:val="auto"/>
        </w:rPr>
      </w:pPr>
      <w:r>
        <w:rPr>
          <w:rFonts w:ascii="Times New Roman" w:cs="Times New Roman" w:eastAsia="Times New Roman" w:hAnsi="Times New Roman"/>
          <w:sz w:val="14"/>
          <w:szCs w:val="14"/>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47625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Puglisi &amp; Associates</w:t>
      </w:r>
    </w:p>
    <w:p>
      <w:pPr>
        <w:jc w:val="center"/>
        <w:ind w:right="-419"/>
        <w:spacing w:after="0" w:line="228" w:lineRule="auto"/>
        <w:rPr>
          <w:sz w:val="20"/>
          <w:szCs w:val="20"/>
          <w:color w:val="auto"/>
        </w:rPr>
      </w:pPr>
      <w:r>
        <w:rPr>
          <w:rFonts w:ascii="Times New Roman" w:cs="Times New Roman" w:eastAsia="Times New Roman" w:hAnsi="Times New Roman"/>
          <w:sz w:val="16"/>
          <w:szCs w:val="16"/>
          <w:b w:val="1"/>
          <w:bCs w:val="1"/>
          <w:color w:val="auto"/>
        </w:rPr>
        <w:t>850 Library Avenue, Suite 204</w:t>
      </w:r>
    </w:p>
    <w:p>
      <w:pPr>
        <w:jc w:val="center"/>
        <w:ind w:right="-459"/>
        <w:spacing w:after="0" w:line="180" w:lineRule="auto"/>
        <w:rPr>
          <w:sz w:val="20"/>
          <w:szCs w:val="20"/>
          <w:color w:val="auto"/>
        </w:rPr>
      </w:pPr>
      <w:r>
        <w:rPr>
          <w:rFonts w:ascii="Times New Roman" w:cs="Times New Roman" w:eastAsia="Times New Roman" w:hAnsi="Times New Roman"/>
          <w:sz w:val="16"/>
          <w:szCs w:val="16"/>
          <w:b w:val="1"/>
          <w:bCs w:val="1"/>
          <w:color w:val="auto"/>
        </w:rPr>
        <w:t>Newark, DE 19711</w:t>
      </w:r>
    </w:p>
    <w:p>
      <w:pPr>
        <w:jc w:val="center"/>
        <w:ind w:right="-439"/>
        <w:spacing w:after="0"/>
        <w:rPr>
          <w:sz w:val="20"/>
          <w:szCs w:val="20"/>
          <w:color w:val="auto"/>
        </w:rPr>
      </w:pPr>
      <w:r>
        <w:rPr>
          <w:rFonts w:ascii="Times New Roman" w:cs="Times New Roman" w:eastAsia="Times New Roman" w:hAnsi="Times New Roman"/>
          <w:sz w:val="14"/>
          <w:szCs w:val="14"/>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47625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6"/>
          <w:szCs w:val="16"/>
          <w:b w:val="1"/>
          <w:bCs w:val="1"/>
          <w:color w:val="auto"/>
        </w:rPr>
        <w:t>Dan Ouyang, Esq.</w:t>
      </w:r>
    </w:p>
    <w:p>
      <w:pPr>
        <w:ind w:left="4740"/>
        <w:spacing w:after="0" w:line="228" w:lineRule="auto"/>
        <w:rPr>
          <w:sz w:val="20"/>
          <w:szCs w:val="20"/>
          <w:color w:val="auto"/>
        </w:rPr>
      </w:pPr>
      <w:r>
        <w:rPr>
          <w:rFonts w:ascii="Times New Roman" w:cs="Times New Roman" w:eastAsia="Times New Roman" w:hAnsi="Times New Roman"/>
          <w:sz w:val="16"/>
          <w:szCs w:val="16"/>
          <w:b w:val="1"/>
          <w:bCs w:val="1"/>
          <w:color w:val="auto"/>
        </w:rPr>
        <w:t>K. Ronnie Li, Esq.</w:t>
      </w:r>
    </w:p>
    <w:p>
      <w:pPr>
        <w:ind w:left="4520"/>
        <w:spacing w:after="0" w:line="229" w:lineRule="auto"/>
        <w:rPr>
          <w:sz w:val="20"/>
          <w:szCs w:val="20"/>
          <w:color w:val="auto"/>
        </w:rPr>
      </w:pPr>
      <w:r>
        <w:rPr>
          <w:rFonts w:ascii="Times New Roman" w:cs="Times New Roman" w:eastAsia="Times New Roman" w:hAnsi="Times New Roman"/>
          <w:sz w:val="16"/>
          <w:szCs w:val="16"/>
          <w:b w:val="1"/>
          <w:bCs w:val="1"/>
          <w:color w:val="auto"/>
        </w:rPr>
        <w:t>Baker &amp; McKenzie LLP</w:t>
      </w:r>
    </w:p>
    <w:p>
      <w:pPr>
        <w:ind w:left="4260"/>
        <w:spacing w:after="0" w:line="212" w:lineRule="auto"/>
        <w:rPr>
          <w:sz w:val="20"/>
          <w:szCs w:val="20"/>
          <w:color w:val="auto"/>
        </w:rPr>
      </w:pPr>
      <w:r>
        <w:rPr>
          <w:rFonts w:ascii="Times New Roman" w:cs="Times New Roman" w:eastAsia="Times New Roman" w:hAnsi="Times New Roman"/>
          <w:sz w:val="16"/>
          <w:szCs w:val="16"/>
          <w:b w:val="1"/>
          <w:bCs w:val="1"/>
          <w:color w:val="auto"/>
        </w:rPr>
        <w:t>Suite 3401, China World Office 2</w:t>
      </w:r>
    </w:p>
    <w:p>
      <w:pPr>
        <w:ind w:left="4440"/>
        <w:spacing w:after="0" w:line="229" w:lineRule="auto"/>
        <w:rPr>
          <w:sz w:val="20"/>
          <w:szCs w:val="20"/>
          <w:color w:val="auto"/>
        </w:rPr>
      </w:pPr>
      <w:r>
        <w:rPr>
          <w:rFonts w:ascii="Times New Roman" w:cs="Times New Roman" w:eastAsia="Times New Roman" w:hAnsi="Times New Roman"/>
          <w:sz w:val="16"/>
          <w:szCs w:val="16"/>
          <w:b w:val="1"/>
          <w:bCs w:val="1"/>
          <w:color w:val="auto"/>
        </w:rPr>
        <w:t>China World Trade Centre</w:t>
      </w:r>
    </w:p>
    <w:p>
      <w:pPr>
        <w:ind w:left="4560"/>
        <w:spacing w:after="0" w:line="229" w:lineRule="auto"/>
        <w:rPr>
          <w:sz w:val="20"/>
          <w:szCs w:val="20"/>
          <w:color w:val="auto"/>
        </w:rPr>
      </w:pPr>
      <w:r>
        <w:rPr>
          <w:rFonts w:ascii="Times New Roman" w:cs="Times New Roman" w:eastAsia="Times New Roman" w:hAnsi="Times New Roman"/>
          <w:sz w:val="16"/>
          <w:szCs w:val="16"/>
          <w:b w:val="1"/>
          <w:bCs w:val="1"/>
          <w:color w:val="auto"/>
        </w:rPr>
        <w:t>1 Jianguomenwai Dajie</w:t>
      </w:r>
    </w:p>
    <w:p>
      <w:pPr>
        <w:ind w:left="4860"/>
        <w:spacing w:after="0" w:line="211" w:lineRule="auto"/>
        <w:rPr>
          <w:sz w:val="20"/>
          <w:szCs w:val="20"/>
          <w:color w:val="auto"/>
        </w:rPr>
      </w:pPr>
      <w:r>
        <w:rPr>
          <w:rFonts w:ascii="Times New Roman" w:cs="Times New Roman" w:eastAsia="Times New Roman" w:hAnsi="Times New Roman"/>
          <w:sz w:val="16"/>
          <w:szCs w:val="16"/>
          <w:b w:val="1"/>
          <w:bCs w:val="1"/>
          <w:color w:val="auto"/>
        </w:rPr>
        <w:t>Beijing 100004</w:t>
      </w:r>
    </w:p>
    <w:p>
      <w:pPr>
        <w:ind w:left="4460"/>
        <w:spacing w:after="0" w:line="229" w:lineRule="auto"/>
        <w:rPr>
          <w:sz w:val="20"/>
          <w:szCs w:val="20"/>
          <w:color w:val="auto"/>
        </w:rPr>
      </w:pPr>
      <w:r>
        <w:rPr>
          <w:rFonts w:ascii="Times New Roman" w:cs="Times New Roman" w:eastAsia="Times New Roman" w:hAnsi="Times New Roman"/>
          <w:sz w:val="16"/>
          <w:szCs w:val="16"/>
          <w:b w:val="1"/>
          <w:bCs w:val="1"/>
          <w:color w:val="auto"/>
        </w:rPr>
        <w:t>People’s Republic of China</w:t>
      </w:r>
    </w:p>
    <w:p>
      <w:pPr>
        <w:ind w:left="4780"/>
        <w:spacing w:after="0"/>
        <w:rPr>
          <w:sz w:val="20"/>
          <w:szCs w:val="20"/>
          <w:color w:val="auto"/>
        </w:rPr>
      </w:pPr>
      <w:r>
        <w:rPr>
          <w:rFonts w:ascii="Times New Roman" w:cs="Times New Roman" w:eastAsia="Times New Roman" w:hAnsi="Times New Roman"/>
          <w:sz w:val="16"/>
          <w:szCs w:val="16"/>
          <w:b w:val="1"/>
          <w:bCs w:val="1"/>
          <w:color w:val="auto"/>
        </w:rPr>
        <w:t>(86-10) 6535-3800</w:t>
      </w:r>
    </w:p>
    <w:p>
      <w:pPr>
        <w:spacing w:after="0" w:line="5"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8" w:lineRule="exact"/>
        <w:rPr>
          <w:sz w:val="24"/>
          <w:szCs w:val="24"/>
          <w:color w:val="auto"/>
        </w:rPr>
      </w:pPr>
    </w:p>
    <w:p>
      <w:pPr>
        <w:jc w:val="both"/>
        <w:ind w:left="500" w:right="60" w:firstLine="360"/>
        <w:spacing w:after="0" w:line="188" w:lineRule="exact"/>
        <w:rPr>
          <w:sz w:val="20"/>
          <w:szCs w:val="20"/>
          <w:color w:val="auto"/>
        </w:rPr>
      </w:pPr>
      <w:r>
        <w:rPr>
          <w:rFonts w:ascii="Times New Roman" w:cs="Times New Roman" w:eastAsia="Times New Roman" w:hAnsi="Times New Roman"/>
          <w:sz w:val="16"/>
          <w:szCs w:val="16"/>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jc w:val="both"/>
        <w:ind w:left="500" w:right="60" w:firstLine="360"/>
        <w:spacing w:after="0" w:line="182"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jc w:val="both"/>
        <w:ind w:left="500" w:right="60" w:firstLine="360"/>
        <w:spacing w:after="0" w:line="175"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jc w:val="both"/>
        <w:ind w:left="500" w:right="40" w:firstLine="360"/>
        <w:spacing w:after="0" w:line="182"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jc w:val="both"/>
        <w:ind w:left="500" w:right="60" w:firstLine="360"/>
        <w:spacing w:after="0" w:line="175"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jc w:val="both"/>
        <w:ind w:left="500" w:right="60" w:firstLine="360"/>
        <w:spacing w:after="0" w:line="182"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860" w:right="48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6"/>
          <w:szCs w:val="16"/>
          <w:color w:val="auto"/>
        </w:rPr>
        <w:t>☒</w:t>
      </w:r>
    </w:p>
    <w:p>
      <w:pPr>
        <w:spacing w:after="0" w:line="1" w:lineRule="exact"/>
        <w:rPr>
          <w:sz w:val="24"/>
          <w:szCs w:val="24"/>
          <w:color w:val="auto"/>
        </w:rPr>
      </w:pPr>
    </w:p>
    <w:p>
      <w:pPr>
        <w:jc w:val="both"/>
        <w:ind w:left="500" w:right="60" w:firstLine="360"/>
        <w:spacing w:after="0" w:line="171"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jc w:val="both"/>
        <w:ind w:left="500" w:right="40" w:firstLine="360"/>
        <w:spacing w:after="0" w:line="221"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73025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9" w:lineRule="exact"/>
        <w:rPr>
          <w:sz w:val="24"/>
          <w:szCs w:val="24"/>
          <w:color w:val="auto"/>
        </w:rPr>
      </w:pPr>
    </w:p>
    <w:p>
      <w:pPr>
        <w:ind w:left="860" w:right="40" w:hanging="368"/>
        <w:spacing w:after="0" w:line="298"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27305</wp:posOffset>
            </wp:positionV>
            <wp:extent cx="6189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On January 15, 2026, the registration statement on Form F-1 (File No. 333-283249) (as amended, the “Registration Statement”) of Baird Medical Investment Holdings Limited (the “Registrant”) was declared effective by the U.S. Securities and Exchange Commission (the “SEC”). The Registrant is filing this post-effective amendment No.1 to the Registration Statement to (1) convert the Registration Statement (and all amendments thereto) into a registration statement on Form F-3 and (2) include its financial statements as of and for the year ended December 31, 2025 and update certain other information contained in the Registration Statement.</w:t>
      </w:r>
    </w:p>
    <w:p>
      <w:pPr>
        <w:spacing w:after="0" w:line="12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No additional securities are being registered by this post-effective amendment No.1.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6556375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40"/>
          </w:cols>
          <w:pgMar w:left="580" w:top="97" w:right="1079" w:bottom="1440" w:gutter="0" w:footer="0" w:header="0"/>
        </w:sectPr>
      </w:pPr>
    </w:p>
    <w:p>
      <w:pPr>
        <w:spacing w:after="0" w:line="200" w:lineRule="exact"/>
        <w:rPr>
          <w:sz w:val="20"/>
          <w:szCs w:val="20"/>
          <w:color w:val="auto"/>
        </w:rPr>
      </w:pPr>
    </w:p>
    <w:p>
      <w:pPr>
        <w:spacing w:after="0" w:line="263" w:lineRule="exact"/>
        <w:rPr>
          <w:sz w:val="20"/>
          <w:szCs w:val="20"/>
          <w:color w:val="auto"/>
        </w:rPr>
      </w:pPr>
    </w:p>
    <w:tbl>
      <w:tblPr>
        <w:tblLayout w:type="fixed"/>
        <w:tblInd w:w="440" w:type="dxa"/>
        <w:tblCellMar>
          <w:top w:w="0" w:type="dxa"/>
          <w:left w:w="0" w:type="dxa"/>
          <w:bottom w:w="0" w:type="dxa"/>
          <w:right w:w="0" w:type="dxa"/>
        </w:tblCellMar>
      </w:tblPr>
      <w:tr>
        <w:trPr>
          <w:trHeight w:val="204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permitted.</w:t>
            </w:r>
          </w:p>
        </w:tc>
      </w:tr>
      <w:tr>
        <w:trPr>
          <w:trHeight w:val="72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filed with</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sale is not</w:t>
            </w:r>
          </w:p>
        </w:tc>
      </w:tr>
      <w:tr>
        <w:trPr>
          <w:trHeight w:val="597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These securities may not be sold until the registration statement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sell nor does it seek an offer to buy these securities in any jurisdiction where the offer or</w:t>
            </w:r>
          </w:p>
        </w:tc>
      </w:tr>
      <w:tr>
        <w:trPr>
          <w:trHeight w:val="98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not an offer to</w:t>
            </w:r>
          </w:p>
        </w:tc>
      </w:tr>
      <w:tr>
        <w:trPr>
          <w:trHeight w:val="128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This prospectus is</w:t>
            </w:r>
          </w:p>
        </w:tc>
      </w:tr>
      <w:tr>
        <w:trPr>
          <w:trHeight w:val="168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Subject to Completion, dated May 22,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ind w:left="1120" w:right="980" w:hanging="182"/>
        <w:spacing w:after="0" w:line="301" w:lineRule="auto"/>
        <w:rPr>
          <w:sz w:val="20"/>
          <w:szCs w:val="20"/>
          <w:color w:val="auto"/>
        </w:rPr>
      </w:pPr>
      <w:r>
        <w:rPr>
          <w:rFonts w:ascii="Times New Roman" w:cs="Times New Roman" w:eastAsia="Times New Roman" w:hAnsi="Times New Roman"/>
          <w:sz w:val="17"/>
          <w:szCs w:val="17"/>
          <w:b w:val="1"/>
          <w:bCs w:val="1"/>
          <w:color w:val="auto"/>
        </w:rPr>
        <w:t>UP TO 11,500,000 ORDINARY SHARES ISSUABLE UPON THE EXERCISE OF WARRANTS UP TO 34,415,562 ORDINARY SHARES OFFERED BY SELLING SECURITYHOLDERS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BAIRD MEDICAL INVESTMENT HOLDINGS LIMITED</w:t>
      </w:r>
    </w:p>
    <w:p>
      <w:pPr>
        <w:spacing w:after="0" w:line="162"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18"/>
          <w:szCs w:val="18"/>
          <w:color w:val="auto"/>
        </w:rPr>
        <w:t>This prospectus relates to the issuance by Baird Medical Investment Holdings Limited (“we,” “us,” “Baird Medical” or the “Company”) of up to 11,500,000 ordinary shares, par value US$0.0001 per share, of the Company (the “Ordinary Shares”), issuable upon the exercise of warrants to purchase Ordinary Shares at an exercise price of US$11.50, which were issued on October 1, 2024 (the “Closing Date”) in exchange for the public warrants of ExcelFin Acquisition Corp. (“ExcelFin”) that were issued in the initial public offering of ExcelFin (the “Public Warrants” or “Warrants”).</w:t>
      </w:r>
    </w:p>
    <w:p>
      <w:pPr>
        <w:spacing w:after="0" w:line="325"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18"/>
          <w:szCs w:val="18"/>
          <w:color w:val="auto"/>
        </w:rPr>
        <w:t>This prospectus also relates to the potential offer and sale from time to time by the selling securityholders named in this prospectus or their pledgees, donees, transferees, assignees or other successors in interest (that receive any of the securities as a gift, distribution, or other non-sale related transfer) (collectively, the “Selling Securityholders”) of up to 34,415,562 Ordinary Shares, including (1) 27,463,627 issued and outstanding Ordinary Shares held by 16 shareholders of Betters Medical Investment Holdings Limited (“Betters Medical”), which were issued to Betters Medical in connection with the business combination with ExcelFin (the “Business Combination”) valued at US$10.20 per share and distributed to the existing shareholders of Betters Medical as a stock dividend through a pro rata distribution in proportion to Betters Medical’s shareholding structure (the “Pro Rata Distribution”) on June 25, 2025; such shares, taking into account the Business Combination, would be deemed as acquired by such shareholders (other than our founder) at a price ranging from approximately RMB1.4 to RMB33.6 per share; see “Selling Securityholders” for details; (2) 6,028,406 issued and outstanding Ordinary Shares issued to ExcelFin SPAC LLC (the “Sponsor”) and certain other shareholders of ExcelFin (the “Sponsor Shares”), comprising (x) 5,750,000 Ordinary Shares exchanged from 5,750,000 ExcelFin Class A Common Stock purchased by the Sponsor at a price of approximately US$0.004 per share; and (y) 278,406 Ordinary Shares converted from the aggregate outstanding balance of certain working capital loans provided to ExcelFin by the Sponsor and its affiliates at a conversion price of US$10.20 per share; (3) 50,000 issued and outstanding Ordinary Shares currently held by J.V.B. Financial Group, LLC (“Cohen”), which were issued to Cohen valued at US$10.00 per share; (4) up to 290,000 Ordinary Shares by Grand Fortune Capital, LLC (“GFC”) upon conversion of 290,000 issued and outstanding Series A Convertible Preferred Shares (the “GFC Shares”) acquired by GFC in a private placement concurrently with the closing of the Business Combination at US$10.00 per share in accordance with the Amended and Restated Articles of Association of Baird Medical; and (5) 583,529 issued and outstanding Ordinary Shares currently held by Grand Fortune Capital (H.K.) Company Limited (“Grand Fortune”), which were issued to Grand Fortune valued at US$6.75 per share.</w:t>
      </w:r>
    </w:p>
    <w:p>
      <w:pPr>
        <w:spacing w:after="0" w:line="333"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18"/>
          <w:szCs w:val="18"/>
          <w:color w:val="auto"/>
        </w:rPr>
        <w:t>The securities registered herein are identified in this prospectus as the Registered Securities. We are registering the offer and sale of the Registered Securities, in part, to satisfy certain registration rights we have granted. The Selling Securityholders may offer all or part of the Registered Securities for resale from time to time through public or private transactions, at either prevailing market prices or at privately negotiated prices. The Registered Securities are being registered to permit the Selling Securityholders to sell securities from time to time, in amounts, at prices and on terms determined at the time of offering. The Selling Securityholders may sell the Registered Securities through ordinary brokerage transactions, in underwritten offerings, directly to market makers of our securities or through any other means described in the section entitled “Plan of Distribution” herein. In connection with any sales of the Registered Securities offered hereunder, the Selling Securityholders, any underwriters, agents, brokers or dealers participating in such sales may be deemed to be “underwriters” within the meaning of the Securities Act of 1933, as amended (the “Securities Act”).</w:t>
      </w:r>
    </w:p>
    <w:p>
      <w:pPr>
        <w:spacing w:after="0" w:line="329"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18"/>
          <w:szCs w:val="18"/>
          <w:color w:val="auto"/>
        </w:rPr>
        <w:t>Subject to the lock-up restrictions described in this prospectus under the section titled “Plan of Distribution,” and assuming the Earnout Shares will be vested, the Selling Securityholders can sell, under this prospectus, up to 34,415,562 Ordinary Shares constituting (on a post- exercise basis) approximately 63.8% of our issued and outstanding Ordinary Shares as of May 21, 2026 (assuming the exercise of all of our outstanding Warrants and full conversion of GFC Shares into 290,000 Ordinary Shares). Despite a potential decline in the public trading price of the Ordinary Shares, certain Selling Securityholders may still experience a positive rate of return on the securities that they sell pursuant to this prospectus as they have acquired the securities registered hereunder at prices substantially below current market prices, and may therefore have an incentive to sell their securities. For example, based on the closing price of our Ordinary Shares at US$1.64 on May 21, 2026, the holders of Sponsor Shares may experience a potential profit of up to US$1.636 per share; and certain shareholders of Betters Medical following the Pro Rata Distribution may experience a potential profit of up to US $1.45 per share. The holders of Public Warrants may experience a potential profit on their Warrants if the price of our Ordinary Shares exceeds US$11.50 per share. However, the public holders of our securities may not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363220</wp:posOffset>
            </wp:positionV>
            <wp:extent cx="68065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100"/>
          </w:cols>
          <w:pgMar w:left="580" w:top="97" w:right="107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40"/>
          </w:cols>
          <w:pgMar w:left="580" w:top="97" w:right="1079" w:bottom="1440" w:gutter="0" w:footer="0" w:header="0"/>
        </w:sectPr>
      </w:pPr>
    </w:p>
    <w:p>
      <w:pPr>
        <w:spacing w:after="0" w:line="200" w:lineRule="exact"/>
        <w:rPr>
          <w:sz w:val="20"/>
          <w:szCs w:val="20"/>
          <w:color w:val="auto"/>
        </w:rPr>
      </w:pPr>
    </w:p>
    <w:p>
      <w:pPr>
        <w:spacing w:after="0" w:line="263" w:lineRule="exact"/>
        <w:rPr>
          <w:sz w:val="20"/>
          <w:szCs w:val="20"/>
          <w:color w:val="auto"/>
        </w:rPr>
      </w:pPr>
    </w:p>
    <w:tbl>
      <w:tblPr>
        <w:tblLayout w:type="fixed"/>
        <w:tblInd w:w="440" w:type="dxa"/>
        <w:tblCellMar>
          <w:top w:w="0" w:type="dxa"/>
          <w:left w:w="0" w:type="dxa"/>
          <w:bottom w:w="0" w:type="dxa"/>
          <w:right w:w="0" w:type="dxa"/>
        </w:tblCellMar>
      </w:tblPr>
      <w:tr>
        <w:trPr>
          <w:trHeight w:val="204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permitted.</w:t>
            </w:r>
          </w:p>
        </w:tc>
      </w:tr>
      <w:tr>
        <w:trPr>
          <w:trHeight w:val="72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filed with</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sale is not</w:t>
            </w:r>
          </w:p>
        </w:tc>
      </w:tr>
      <w:tr>
        <w:trPr>
          <w:trHeight w:val="597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These securities may not be sold until the registration statement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sell nor does it seek an offer to buy these securities in any jurisdiction where the offer or</w:t>
            </w:r>
          </w:p>
        </w:tc>
      </w:tr>
      <w:tr>
        <w:trPr>
          <w:trHeight w:val="98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not an offer to</w:t>
            </w:r>
          </w:p>
        </w:tc>
      </w:tr>
      <w:tr>
        <w:trPr>
          <w:trHeight w:val="128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This prospectus is</w:t>
            </w:r>
          </w:p>
        </w:tc>
      </w:tr>
      <w:tr>
        <w:trPr>
          <w:trHeight w:val="168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 similar rate of return on the securities they purchase due to differences in the applicable purchase price and trading price. Given the substantial number of securities being registered for potential resale by the Selling Securityholders pursuant to this prospectus, the sale of such securities by the Selling Securityholders, or the perception in the market that the Selling Securityholders may or intend to sell all or a significant portion of such securities, could increase the volatility of the market price of our Ordinary Shares or result in a significant decline in the public trading price of our Ordinary Shares.</w:t>
      </w:r>
    </w:p>
    <w:p>
      <w:pPr>
        <w:spacing w:after="0" w:line="32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sale of the securities by the Selling Securityholders. We will receive proceeds from the exercise of Warrants if the Warrants are exercised for cash. The likelihood that warrant holders will exercise the Warrants and any cash proceeds that we would receive is dependent upon the market price of our Ordinary Shares. Based on the closing price of our Ordinary Shares at US$1.64 on May 21, 2026, which is less than the exercise price of US$11.50 per share pursuant to the terms of the Warrants, we believe the warrant holders will be unlikely to exercise their Warrants, and we are unlikely to receive proceeds from the exercise of Warrants. We will pay the expenses associated with registering the sales by the Selling Securityholders, as described in more details in the section titled “Use of Proceeds” appearing elsewhere in this prospectus.</w:t>
      </w:r>
    </w:p>
    <w:p>
      <w:pPr>
        <w:spacing w:after="0" w:line="124"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Our Ordinary Shares and our Warrants to purchase Ordinary Shares are listed on the Nasdaq Stock Market LLC (“Nasdaq”), under the trading symbols “BDMD” and “BDMD W,” respectively. On May 21, 2026, the closing price for our Ordinary Shares on Nasdaq was US$1.64, and the closing price for our Warrants on Nasdaq was US$0.055.</w:t>
      </w:r>
    </w:p>
    <w:p>
      <w:pPr>
        <w:spacing w:after="0" w:line="108" w:lineRule="exact"/>
        <w:rPr>
          <w:sz w:val="20"/>
          <w:szCs w:val="20"/>
          <w:color w:val="auto"/>
        </w:rPr>
      </w:pPr>
    </w:p>
    <w:p>
      <w:pPr>
        <w:jc w:val="both"/>
        <w:ind w:right="20" w:firstLine="360"/>
        <w:spacing w:after="0" w:line="275"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309" w:lineRule="exact"/>
        <w:rPr>
          <w:sz w:val="20"/>
          <w:szCs w:val="20"/>
          <w:color w:val="auto"/>
        </w:rPr>
      </w:pPr>
    </w:p>
    <w:p>
      <w:pPr>
        <w:jc w:val="both"/>
        <w:ind w:right="20" w:firstLine="360"/>
        <w:spacing w:after="0" w:line="252" w:lineRule="auto"/>
        <w:rPr>
          <w:sz w:val="20"/>
          <w:szCs w:val="20"/>
          <w:color w:val="auto"/>
        </w:rPr>
      </w:pPr>
      <w:r>
        <w:rPr>
          <w:rFonts w:ascii="Times New Roman" w:cs="Times New Roman" w:eastAsia="Times New Roman" w:hAnsi="Times New Roman"/>
          <w:sz w:val="18"/>
          <w:szCs w:val="18"/>
          <w:color w:val="auto"/>
        </w:rPr>
        <w:t>Baird Medical is a Cayman Islands holding company and not a Chinese operating company. We carry out our business in China through our wholly-owned PRC subsidiaries. We face various legal and operational risks and uncertainties associated with being based in or having substantially all of our operations in China. We are subject to complex and evolving laws and regulations in China. The PRC government has indicated an intent to exert more oversight and control over offerings that are conducted overseas and/or foreign investment in China-based issuers, and initiated various regulatory actions and made various public statements, some of which are published with very short notice, including cracking down on illegal activities in the securities market, enhancing supervision over China-based companies listed overseas, adopting new measures to extend the scope of cybersecurity reviews, and expanding efforts in anti-monopoly enforcement. For instance, we face risks associated with regulatory approvals on overseas offerings and oversight on cybersecurity and data privacy, which may impact our ability to conduct certain business, accept foreign investments, or list and conduct offerings on a U.S. or other foreign stock exchange. These risks could result in a material adverse change in our operations and the value of the Ordinary Shares, significantly limit or completely hinder our ability to offer or continue to offer securities to investors, or cause the value of such securities to significantly decline or become worthless. For details, see “Item 3. Key Information — D. Risk Factors — Risks Related to Doing Business in China” in our annual report on Form 20-F for the year ended December 31, 2025 filed with the SEC on April 24, 2026 (the “2025 20-F”).</w:t>
      </w:r>
    </w:p>
    <w:p>
      <w:pPr>
        <w:spacing w:after="0" w:line="344"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18"/>
          <w:szCs w:val="18"/>
          <w:color w:val="auto"/>
        </w:rPr>
        <w:t>We are subject to a number of prohibitions, restrictions and potential delisting risk under the Holding Foreign Companies Accountable Act, as amended by the Consolidated Appropriations Act 2023 (the “HFCAA”). Pursuant to the HFCAA and related regulations, if we have filed an audit report issued by a registered public accounting firm that the Public Company Accounting Oversight Board (the “PCAOB”) has determined that it is unable to inspect and investigate completely, the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We dismissed Marcum Asia CPAs LLP (“Marcum Asia”) and appointed Kreit &amp; Chiu CPA LLP (“Kreit &amp; Chiu”) as our independent registered public accounting firm, effective from January 24, 2025. We subsequently dismissed Kreit &amp; Chiu and appointed Guangdong Prouden CPAs GP (“Guangdong Prouden”) as our independent registered public accounting firm. Marcum Asia and Kreit &amp; Chiu, our former auditors, are independent public accounting firms registered with the PCAOB, are headquartered in the United States, and were not identified in the PCAOB’s 2021 determination report. Our current auditor, Guangdong Prouden, is an independent registered public accounting firm registered with the PCAOB, is headquartered in Guangzhou, China, and is subject to PCAOB inspections on a regular basis.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378460</wp:posOffset>
            </wp:positionV>
            <wp:extent cx="68065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100"/>
          </w:cols>
          <w:pgMar w:left="580" w:top="97" w:right="107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40"/>
          </w:cols>
          <w:pgMar w:left="580" w:top="97" w:right="1079" w:bottom="1440" w:gutter="0" w:footer="0" w:header="0"/>
        </w:sectPr>
      </w:pPr>
    </w:p>
    <w:p>
      <w:pPr>
        <w:spacing w:after="0" w:line="200" w:lineRule="exact"/>
        <w:rPr>
          <w:sz w:val="20"/>
          <w:szCs w:val="20"/>
          <w:color w:val="auto"/>
        </w:rPr>
      </w:pPr>
    </w:p>
    <w:p>
      <w:pPr>
        <w:spacing w:after="0" w:line="263" w:lineRule="exact"/>
        <w:rPr>
          <w:sz w:val="20"/>
          <w:szCs w:val="20"/>
          <w:color w:val="auto"/>
        </w:rPr>
      </w:pPr>
    </w:p>
    <w:tbl>
      <w:tblPr>
        <w:tblLayout w:type="fixed"/>
        <w:tblInd w:w="440" w:type="dxa"/>
        <w:tblCellMar>
          <w:top w:w="0" w:type="dxa"/>
          <w:left w:w="0" w:type="dxa"/>
          <w:bottom w:w="0" w:type="dxa"/>
          <w:right w:w="0" w:type="dxa"/>
        </w:tblCellMar>
      </w:tblPr>
      <w:tr>
        <w:trPr>
          <w:trHeight w:val="204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permitted.</w:t>
            </w:r>
          </w:p>
        </w:tc>
      </w:tr>
      <w:tr>
        <w:trPr>
          <w:trHeight w:val="72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filed with</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sale is not</w:t>
            </w:r>
          </w:p>
        </w:tc>
      </w:tr>
      <w:tr>
        <w:trPr>
          <w:trHeight w:val="597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These securities may not be sold until the registration statement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sell nor does it seek an offer to buy these securities in any jurisdiction where the offer or</w:t>
            </w:r>
          </w:p>
        </w:tc>
      </w:tr>
      <w:tr>
        <w:trPr>
          <w:trHeight w:val="98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not an offer to</w:t>
            </w:r>
          </w:p>
        </w:tc>
      </w:tr>
      <w:tr>
        <w:trPr>
          <w:trHeight w:val="128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This prospectus is</w:t>
            </w:r>
          </w:p>
        </w:tc>
      </w:tr>
      <w:tr>
        <w:trPr>
          <w:trHeight w:val="168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moving forward and pursue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we will be identified as a “Commission -identified Issuer,” and upon two consecutive years of non-inspection under the HFCAA, the Ordinary Shares will be delisted from the Nasdaq Stock Market and will not be permitted for trading over the counter either. The related risks and uncertainties could cause the value of the Ordinary Shares to significantly decline or become worthless.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w:t>
      </w:r>
    </w:p>
    <w:p>
      <w:pPr>
        <w:spacing w:after="0" w:line="333"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18"/>
          <w:szCs w:val="18"/>
          <w:color w:val="auto"/>
        </w:rPr>
        <w:t>Cash may be transferred among Baird Medical and our PRC subsidiaries, in the following manners: (1) funds may be transferred to our PRC subsidiaries from Baird Medical as needed through our subsidiaries in the British Virgin Islands (“BVI”) and Hong Kong in the form of capital contribution or shareholder loan, as the case may be;</w:t>
      </w:r>
    </w:p>
    <w:p>
      <w:pPr>
        <w:spacing w:after="0" w:line="2" w:lineRule="exact"/>
        <w:rPr>
          <w:sz w:val="20"/>
          <w:szCs w:val="20"/>
          <w:color w:val="auto"/>
        </w:rPr>
      </w:pPr>
    </w:p>
    <w:p>
      <w:pPr>
        <w:jc w:val="both"/>
        <w:spacing w:after="0" w:line="241" w:lineRule="auto"/>
        <w:tabs>
          <w:tab w:leader="none" w:pos="28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other distributions may be paid by our PRC subsidiaries to Baird Medical through our subsidiaries in the BVI and Hong Kong; and (3) our PRC subsidiaries may lend to and borrow from each other from time to time for business operation purposes. In 2023, 2024 and 2025, there was no cash transfer within our organization, and no assets other than cash were transferred within our organization. 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For details, see “Prospectus Summary — Implication of Being a Company with the Holding Company Structure — Cash and asset flows through our organization.” We are in the process of adopting our formal cash management policies which will dictate the purpose, amount and procedure of cash transfers among our holding company and subsidiaries. We will determine the payment of dividends and fund transfer based on our specific business needs in accordance with the applicable laws and regulations. See “Prospectus Summary —  Implication of Being a Company with the Holding Company Structure — Dividend distribution and taxation.”</w:t>
      </w:r>
    </w:p>
    <w:p>
      <w:pPr>
        <w:spacing w:after="0" w:line="118"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18"/>
          <w:szCs w:val="18"/>
          <w:color w:val="auto"/>
        </w:rPr>
        <w:t>On February 17, 2023, the CSRC promulgated Trial Administrative Measures of the Overseas Securities Offering and Listing by Domestic Companies (the “Overseas Listing Trial Measures”) and circulated five supporting guidelines, which became effective on March 31, 2023. The Overseas Listing Trial Measures regulate both direct and indirect overseas offering and listing of PRC domestic companies’ securities by adopting a filing- based regulatory regime. We completed the filing procedures in connection with the Business Combination under the Overseas Listing Trial Measures on January 2, 2024, and the result of such CSRC approval was posted on the official website of the CSRC on the same date. We are not required to complete the CSRC filing procedures and obtain the CSRC approval under the Overseas Listing Trial Measures in connection with the resale of Registered Securities as described in this prospectus, because the resale of Registered Securities, including the Ordinary Shares issuable from the exercise of Warrants, does not involve the issuance of new securities of our Company that have not been previously included in our filing with the CSRC in connection with the Business Combination.</w:t>
      </w:r>
    </w:p>
    <w:p>
      <w:pPr>
        <w:spacing w:after="0" w:line="329"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18"/>
          <w:szCs w:val="18"/>
          <w:color w:val="auto"/>
        </w:rPr>
        <w:t>Pursuant to the Overseas Listing Trial Measures, we may need to complete filing procedures for future offshore fund- raising activities, including conducting follow-on offering in the United States. Any failure or perceived failure by us to comply with such filing requirements under the Overseas Listing Trial Measures may result in forced rectification, warnings and fines against us and could materially hinder our ability to raise fund overseas. In addition, we cannot guarantee that new rules or regulations promulgated in the future will not impose any additional requirement or otherwise tightening the regulations on companies with contractual arrangements. If we violate or are deemed to have violated any current or future rules or regulations, regulatory agencies in China may impose fines and penalties on our operations in China, limit its operating privileges in China, delay or restrict the repatriation of the proceeds from offshore fund-raising activities into the PRC or take other actions that could materially adversely affect our business, financial condition and results of operations, as well as the trading price of our Ordinary Shares. See “Prospectus Summary — Regulatory Matters” and “Item 3. Key Information — D. Risk Factors — Risks Related to Doing Business in China — The filing with the CSRC may be required in connection with future overseas fund-raising activities, and we cannot predict whether we will be able to obtain such approval or complete such filing” in our 2025 20-F.</w:t>
      </w:r>
    </w:p>
    <w:p>
      <w:pPr>
        <w:spacing w:after="0" w:line="12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To the extent our cash or assets in the business are in mainland China or Hong Kong or a mainland China or Hong Kong subsidiary, the funds or assets may not be available to fund operations or for other use outside of mainland China or Hong Kong due to interventions in or the imposition of restrictions and limitations on the ability of Baird Medical and our subsidiaries to transfer cash or assets. The PRC government imposes certain restrictions on the convertibility of RMB into foreign currencies and the remittance of funds out of China, which may restrict the transfer of cash between Baird Medical and our PRC subsidiaries or the investors. Under PRC laws and regulations, our PRC subsidiaries are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409575</wp:posOffset>
            </wp:positionV>
            <wp:extent cx="68065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100"/>
          </w:cols>
          <w:pgMar w:left="580" w:top="97" w:right="107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40"/>
          </w:cols>
          <w:pgMar w:left="580" w:top="97" w:right="1079" w:bottom="1440" w:gutter="0" w:footer="0" w:header="0"/>
        </w:sectPr>
      </w:pPr>
    </w:p>
    <w:p>
      <w:pPr>
        <w:spacing w:after="0" w:line="200" w:lineRule="exact"/>
        <w:rPr>
          <w:sz w:val="20"/>
          <w:szCs w:val="20"/>
          <w:color w:val="auto"/>
        </w:rPr>
      </w:pPr>
    </w:p>
    <w:p>
      <w:pPr>
        <w:spacing w:after="0" w:line="263" w:lineRule="exact"/>
        <w:rPr>
          <w:sz w:val="20"/>
          <w:szCs w:val="20"/>
          <w:color w:val="auto"/>
        </w:rPr>
      </w:pPr>
    </w:p>
    <w:tbl>
      <w:tblPr>
        <w:tblLayout w:type="fixed"/>
        <w:tblInd w:w="440" w:type="dxa"/>
        <w:tblCellMar>
          <w:top w:w="0" w:type="dxa"/>
          <w:left w:w="0" w:type="dxa"/>
          <w:bottom w:w="0" w:type="dxa"/>
          <w:right w:w="0" w:type="dxa"/>
        </w:tblCellMar>
      </w:tblPr>
      <w:tr>
        <w:trPr>
          <w:trHeight w:val="204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permitted.</w:t>
            </w:r>
          </w:p>
        </w:tc>
      </w:tr>
      <w:tr>
        <w:trPr>
          <w:trHeight w:val="72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filed with</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sale is not</w:t>
            </w:r>
          </w:p>
        </w:tc>
      </w:tr>
      <w:tr>
        <w:trPr>
          <w:trHeight w:val="597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These securities may not be sold until the registration statement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sell nor does it seek an offer to buy these securities in any jurisdiction where the offer or</w:t>
            </w:r>
          </w:p>
        </w:tc>
      </w:tr>
      <w:tr>
        <w:trPr>
          <w:trHeight w:val="98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not an offer to</w:t>
            </w:r>
          </w:p>
        </w:tc>
      </w:tr>
      <w:tr>
        <w:trPr>
          <w:trHeight w:val="128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This prospectus is</w:t>
            </w:r>
          </w:p>
        </w:tc>
      </w:tr>
      <w:tr>
        <w:trPr>
          <w:trHeight w:val="168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certain restrictions with respect to payment of dividends or otherwise transfers of any of their net assets to us. Remittance of dividends by our PRC subsidiaries out of China is also subject to certain procedures with the banks designated by the PRC State Administration of Foreign Exchange. These restrictions are benchmarked against the paid-up capital and the statutory reserve funds of our PRC subsidiaries. In addition, while there are currently no such restrictions on foreign exchange and our ability to transfer cash or assets between Baird Medical and our Hong Kong subsidiary, if certain PRC laws and regulations, including existing laws and regulations and those enacted or promulgated 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Baird Medical and our PRC subsidiaries to transfer or distribute cash within the organization, which could result in an inability of or prohibition on making transfers or distributions to entities outside of mainland China and Hong Kong. For details, see “Prospectus Summary — Implication of Being a Company with the Holding Company Structure — Cash and asset flows through our organization,” “Item 3. Key Information — D.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“Item 3. Key Information — D. Risk Factors —  Risks Related to Doing Business in China — Governmental control of currency conversion may limit the ability of us to utilize our net revenues effectively and our ability to transfer cash among the group, across borders, and to investors and affect the value of your investment” in our 2025 20-F.</w:t>
      </w:r>
    </w:p>
    <w:p>
      <w:pPr>
        <w:spacing w:after="0" w:line="330" w:lineRule="exact"/>
        <w:rPr>
          <w:sz w:val="20"/>
          <w:szCs w:val="20"/>
          <w:color w:val="auto"/>
        </w:rPr>
      </w:pPr>
    </w:p>
    <w:p>
      <w:pPr>
        <w:jc w:val="both"/>
        <w:ind w:right="20" w:firstLine="360"/>
        <w:spacing w:after="0" w:line="264"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as amended, and, as such, may elect to comply with certain reduced public company reporting requirements in future reports.</w:t>
      </w:r>
    </w:p>
    <w:p>
      <w:pPr>
        <w:spacing w:after="0" w:line="31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Securities Exchange Act of 1934, as amended (the “Exchange Act”), and as such we are exempt from certain provisions of the securities rules and regulations in the United States that are applicable to U.S. domestic issuers, such as the rules regulating solicitation of proxies and certain insider short-swing profit rules.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corporate governance standards of the Nasdaq Stock Market.</w:t>
      </w:r>
    </w:p>
    <w:p>
      <w:pPr>
        <w:spacing w:after="0" w:line="32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See “Risk Factors” beginning on page </w:t>
      </w:r>
      <w:r>
        <w:rPr>
          <w:rFonts w:ascii="Times New Roman" w:cs="Times New Roman" w:eastAsia="Times New Roman" w:hAnsi="Times New Roman"/>
          <w:sz w:val="18"/>
          <w:szCs w:val="18"/>
          <w:b w:val="1"/>
          <w:bCs w:val="1"/>
          <w:u w:val="single" w:color="auto"/>
          <w:color w:val="0000EE"/>
        </w:rPr>
        <w:t>14</w:t>
      </w:r>
      <w:r>
        <w:rPr>
          <w:rFonts w:ascii="Times New Roman" w:cs="Times New Roman" w:eastAsia="Times New Roman" w:hAnsi="Times New Roman"/>
          <w:sz w:val="18"/>
          <w:szCs w:val="18"/>
          <w:b w:val="1"/>
          <w:bCs w:val="1"/>
          <w:color w:val="auto"/>
        </w:rPr>
        <w:t xml:space="preserve"> of this prospectus and other risk factors contained in the documents incorporated by reference herein for a discussion of information that should be considered in connection with an investment in our securities.</w:t>
      </w:r>
    </w:p>
    <w:p>
      <w:pPr>
        <w:spacing w:after="0" w:line="9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other regulatory body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PROSPECTUS DATED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255905</wp:posOffset>
            </wp:positionV>
            <wp:extent cx="68065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100"/>
          </w:cols>
          <w:pgMar w:left="580" w:top="97" w:right="107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SECURITYHOLDERS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r>
        <w:rPr>
          <w:rFonts w:ascii="Times New Roman" w:cs="Times New Roman" w:eastAsia="Times New Roman" w:hAnsi="Times New Roman"/>
          <w:sz w:val="18"/>
          <w:szCs w:val="18"/>
          <w:color w:val="000000"/>
        </w:rPr>
        <w:t>​</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ENFORCEABILITY OF CIVIL LIABILITIES AND AGENT FOR SERVICE OF PROCESS IN THE</w:t>
      </w:r>
    </w:p>
    <w:p>
      <w:pPr>
        <w:spacing w:after="0" w:line="23" w:lineRule="exact"/>
        <w:rPr>
          <w:sz w:val="20"/>
          <w:szCs w:val="20"/>
          <w:color w:val="auto"/>
        </w:rPr>
      </w:pPr>
    </w:p>
    <w:p>
      <w:pPr>
        <w:ind w:left="1440" w:hanging="180"/>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EXPENSES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RELATED TO THE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3118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8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62</w:t>
      </w:r>
      <w:r>
        <w:rPr>
          <w:rFonts w:ascii="Times New Roman" w:cs="Times New Roman" w:eastAsia="Times New Roman" w:hAnsi="Times New Roman"/>
          <w:sz w:val="18"/>
          <w:szCs w:val="18"/>
          <w:color w:val="auto"/>
        </w:rPr>
        <w:t>​</w:t>
      </w:r>
    </w:p>
    <w:p>
      <w:pPr>
        <w:sectPr>
          <w:pgSz w:w="11900" w:h="16838" w:orient="portrait"/>
          <w:cols w:equalWidth="0" w:num="2">
            <w:col w:w="8940" w:space="180"/>
            <w:col w:w="75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that Baird Medical Investment Holdings Limited filed with the SEC, utilizing a “shelf” registration process. By using a shelf registration statement, we and the Selling Securityholders named in this prospectus may, from time to time, sell the securities described in this prospectus in one or more offerings. This prospectus includes important information about us, the securities being offered and other information you should know before investing. Any prospectus supplement that we file in connection with any specific offering by us or the Selling Securityholders may also add, update, or change information in this prospectus. If there is any inconsistency between the information contained in this prospectus and any prospectus supplement, you should rely on the information contained in that particular prospectus supplement. You should read this prospectus, any applicable prospectus supplement, together with the additional information about us described in the section below entitled “Where You Can Find More Information About Us” and “Information Incorporated by Reference.” You should rely only on information contained in this prospectus and any applicable prospectus supplement. Neither we nor the Selling Securityholders have authorized anyone to provide you with information different from that contained in this prospectus or any prospectus supplement. The information contained in this prospectus is accurate only as of the date on the front cover of the prospectus. You should not assume that the information contained in this prospectus is accurate as of any other date.</w:t>
      </w:r>
    </w:p>
    <w:p>
      <w:pPr>
        <w:spacing w:after="0" w:line="34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offer and sell the securities directly to purchasers, through agents selected by the Selling Securityholders, or to or through underwriters or dealers. A prospectus supplement, if required, may describe the terms of the plan of distribution and set forth the names of any agents, underwriters or dealers involved in the sale of securities. See “Plan of Distribution.”</w:t>
      </w:r>
    </w:p>
    <w:p>
      <w:pPr>
        <w:spacing w:after="0" w:line="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117" w:lineRule="exact"/>
        <w:rPr>
          <w:sz w:val="20"/>
          <w:szCs w:val="20"/>
          <w:color w:val="auto"/>
        </w:rPr>
      </w:pPr>
    </w:p>
    <w:p>
      <w:pPr>
        <w:jc w:val="both"/>
        <w:ind w:left="1800" w:right="41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“PRC” refers to the People’s Republic of China, excluding, for the purposes of this prospectus only, Taiwan, the Hong Kong Special Administrative Region and the Macau Special Administrative Region;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refers to the legal currency of China;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“Ordinary Shares” refers to our ordinary shares, par value US$0.0001 per share;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“U.S. dollars” refers to the legal currency of the United States of America; and</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and “our group” refers to Baird Medical Investment Holdings Limited, our Cayman Islands holding company, its predecessor entity and its subsidiaries, as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securities. You should read this entire prospectus carefully, including the sections titled “Risk Factors,” our consolidated financial statements and the related notes, and other information incorporated by reference in this prospectus from our other filings with the SEC, before making an investment decision.</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8"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We are a specialized healthcare innovator dedicated exclusively to thyroid related diseases. By combining extensive clinical understanding with cutting-edge technologies, we aim to transform traditional thyroid treatment through intelligent, non-invasive solutions. Our mission is to build an ecosystem that spans the entire treatment process, spanning from early screening and diagnosis to robotic-assisted ablation and post-treatment care.</w:t>
      </w:r>
    </w:p>
    <w:p>
      <w:pPr>
        <w:spacing w:after="0" w:line="110"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Our core strengths lie in our successful development and commercialization of the thyroid microwave ablation system, as well as our active R&amp;D pipeline featuring AI-integrated robotic systems. Our approach integrates hardware innovation, software intelligence and a comprehensive system mindset, positioning us to lead in a highly specialized and globally significant market.</w:t>
      </w:r>
    </w:p>
    <w:p>
      <w:pPr>
        <w:spacing w:after="0" w:line="110" w:lineRule="exact"/>
        <w:rPr>
          <w:sz w:val="20"/>
          <w:szCs w:val="20"/>
          <w:color w:val="auto"/>
        </w:rPr>
      </w:pPr>
    </w:p>
    <w:p>
      <w:pPr>
        <w:jc w:val="both"/>
        <w:ind w:left="1280" w:right="399" w:firstLine="360"/>
        <w:spacing w:after="0" w:line="251" w:lineRule="auto"/>
        <w:rPr>
          <w:sz w:val="20"/>
          <w:szCs w:val="20"/>
          <w:color w:val="auto"/>
        </w:rPr>
      </w:pPr>
      <w:r>
        <w:rPr>
          <w:rFonts w:ascii="Times New Roman" w:cs="Times New Roman" w:eastAsia="Times New Roman" w:hAnsi="Times New Roman"/>
          <w:sz w:val="18"/>
          <w:szCs w:val="18"/>
          <w:color w:val="auto"/>
        </w:rPr>
        <w:t>What set us unique are our category focus, our full-stack technology strategy and our proven regulatory and commercial execution. Backed by a vision to deliver safer, faster, and more accurate thyroid care to patients worldwide, we are positioned to become the first global platform company dedicated to precision thyroid health.</w:t>
      </w:r>
    </w:p>
    <w:p>
      <w:pPr>
        <w:spacing w:after="0" w:line="323"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Microwave ablation is a minimally invasive treatment technique that denaturalizes and coagulates the protein of tumor cells with extreme heat generated by microwave energy. Microwave ablation treatments have been applied to benign and malignant tumors, and we believe they are safer, less invasive and easier to operate with faster recovery periods and lower complication rates for patients, as compared to traditional treatment methods such as surgery, radiotherapy, interventional radiology, chemotherapy, targeted therapy and immunotherapy. We are not aware of any research suggesting that such traditional treatments can also prevent cancer progression by curbing benign tumors from developing into malignant tumors. The type of tumor treatment depends on the patient’s individual circumstances, including the size and characteristics of the tumor, the desired outcome, and the acceptable cost. Some types of benign tumors have the potential of transforming into malignant ones through a process known as “cancer progression.” Microwave ablation treatments can help to prevent cancer progression by curbing a benign tumor from developing into a malignant tumor, and management believes that patients diagnosed with benign tumors are inclined to seek tumor removal to avoid the risks of cancer progression.</w:t>
      </w:r>
    </w:p>
    <w:p>
      <w:pPr>
        <w:spacing w:after="0" w:line="122"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Our product offerings and pipeline products mainly consist of microwave ablation apparatus and needles. Our product offerings available for sale include microwave ablation apparatus approved for the treatment of live cancer and thyroid nodule, long microwave ablation needles, and fine microwave ablation needles. Currently, we hold two registration certificates for Class III medical devices specifically approved for the treatment of liver cancer and thyroid nodules, and one registration certificate for Class II medical devices in the PRC. Under PRC laws and regulations, Class II medical devices are those with moderate risks and are strictly controlled and administered, and Class III medical devices are those with relatively high risks and are strictly controlled and administered through special measures.</w:t>
      </w:r>
    </w:p>
    <w:p>
      <w:pPr>
        <w:spacing w:after="0" w:line="119"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Through our research and development team, led by our co -chief technical officers, Mr. Rongjian Lu, and our research and development partners, including Nanjing Forestry University and Zhuhai People’s Hospital, we have focused our development efforts on additional types of microwave ablation medical devices to meet market demand, and have also developed a product pipeline to achieve more extensive products offering.</w:t>
      </w:r>
    </w:p>
    <w:p>
      <w:pPr>
        <w:spacing w:after="0" w:line="322"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Our products are ultimately sold to hospitals through direct sales, deliverers, or distributors. Benefiting from our distributors’ established channels and resources, we have been able to cut costs and time in reaching target markets compared to the costs and time required to distribute those products through direct sales. With a network of qualified deliverers, we have been able to sell products to a large group of hospitals. With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310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831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solid and strategically managed network of deliverers and distributors and close collaboration with medical associations and doctors through our sales and marketing efforts, we have seen the number of hospitals in China purchasing our products increase from approximately 430 in 2022 to approximately 614 in 2025, with the number of Grade III hospitals (the highest tier hospitals in China) increasing from approximately 250 in 2022 to approximately 329 in 2025, respectively.</w:t>
      </w:r>
    </w:p>
    <w:p>
      <w:pPr>
        <w:spacing w:after="0" w:line="116"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had revenue of US$31.5 million, US$37.0 million and US$22.5 million in 2023, 2024 and 2025, respectively. We had net income of US$10.7 million and US$12.6 million and net loss of US$27.5 million in 2023, 2024 and 2025, respectively.</w:t>
      </w:r>
    </w:p>
    <w:p>
      <w:pPr>
        <w:spacing w:after="0" w:line="108"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Room 202, 2/F, Baide Building, Building 11, No. 15, Rongtong Street, Yuexiu District, Guangzhou, People’s Republic of China and its telephone number is +86 20 8218-5926. Our website address is bairdmed.com. The information contained on the website does not form a part of, and is not incorporated by reference into, this prospectus.</w:t>
      </w:r>
    </w:p>
    <w:p>
      <w:pPr>
        <w:spacing w:after="0" w:line="99"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The following diagram depicts a simplified organizational structure of the Company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 of Being a Company with the Holding Company Structure</w:t>
      </w:r>
    </w:p>
    <w:p>
      <w:pPr>
        <w:spacing w:after="0" w:line="162"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Baird Medical is a Cayman Islands holding company with no material operations of its own. We conduct our operations primarily through our wholly-owned PRC subsidiaries in China. As a result, Baird Medical’s ability to pay dividends to the shareholders and to service any debt we may incur may highly depend upon dividends paid by our PRC subsidiaries, despite that we may obtain financing at the holding company level through other methods. For instance, if any of our PRC subsidiaries incurs debt on its own behalf in the future, the instruments governing such debt may restrict its ability to pay dividends to us and the investors.</w:t>
      </w:r>
    </w:p>
    <w:p>
      <w:pPr>
        <w:spacing w:after="0" w:line="336"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Under PRC laws and regulations, our PRC subsidiaries are permitted to pay dividends only out of their retained earnings, if any, as determined in accordance with PRC accounting standards and regulations. Furthermore, our PRC subsidiaries are required to make appropriations to certain statutory reserve funds or may make appropriations to certain discretionary funds, which are not distributable as cash dividends except in the event of a solvent liquidation of the companies. Remittance of dividends by our PRC subsidiaries out of China is also subject to certain procedures with the banks designated by the PRC State Administration of Foreign Exchange (“SAFE”). These restrictions are benchmarked against the paid-up capital and the statutory reserve funds of our PRC subsidiaries. In addition, while there are currently no such restrictions on foreign exchange and our ability to transfer cash or assets between Baird Medical and our Hong Kong subsidiary, if certain PRC laws and regulations, including existing laws and regulations and those enacted or promulgated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43" w:lineRule="auto"/>
        <w:rPr>
          <w:sz w:val="20"/>
          <w:szCs w:val="20"/>
          <w:color w:val="auto"/>
        </w:rPr>
      </w:pPr>
      <w:r>
        <w:rPr>
          <w:rFonts w:ascii="Times New Roman" w:cs="Times New Roman" w:eastAsia="Times New Roman" w:hAnsi="Times New Roman"/>
          <w:sz w:val="18"/>
          <w:szCs w:val="18"/>
          <w:color w:val="auto"/>
        </w:rPr>
        <w:t>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Baird Medical and our PRC subsidiaries to transfer or distribute cash within the organization, which could result in an inability of or prohibition on making transfers or distributions to entities outside of mainland China and Hong Kong. For details, see “Item 3. Key Information — D.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“Item 3. Key Information — D. Risk Factors — Risks Related to Doing Business in China — Governmental control of currency conversion may limit the ability of us to utilize our net revenues effectively and our ability to transfer cash among the group, across borders, and to investors and affect the value of your investment” in our 2025 20-F.</w:t>
      </w: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Cash and asset flows through our organization</w:t>
      </w:r>
    </w:p>
    <w:p>
      <w:pPr>
        <w:spacing w:after="0" w:line="162"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Under PRC laws and regulations, we, the Cayman Islands holding company, may fund our PRC subsidiaries only through capital contributions or loans, subject to satisfaction of applicable government registration and approval requirements. In 2023, 2024 and 2025, there was no cash transfer within our organization, and no assets other than cash were transferred within our organization. 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We are in the process of adopting our formal cash management policies which will dictate the purpose, amount and procedure of cash transfers among our holding company and subsidiaries. We will determine the payment of dividends and fund transfer based on our specific business needs in accordance with the applicable laws and regulations.</w:t>
      </w:r>
    </w:p>
    <w:p>
      <w:pPr>
        <w:spacing w:after="0" w:line="39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 and taxation</w:t>
      </w:r>
    </w:p>
    <w:p>
      <w:pPr>
        <w:spacing w:after="0" w:line="162"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We currently intend to retain most, if not all, of our available funds and any future earnings to operate and expand our business. See “Dividend Policy” in our 2025 20-F for details.</w:t>
      </w:r>
    </w:p>
    <w:p>
      <w:pPr>
        <w:spacing w:after="0" w:line="114"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Subject to the “passive foreign investment company” rules, the gross amount of any distribution that we make to a U.S. Holder (as defined in “Taxation — United States Federal Income Taxation”) with respect to the Ordinary Shares (including any amounts withheld to reflect PRC withholding taxes) will be taxable as a dividend for United States federal income tax purposes, to the extent paid out of our current or accumulated earnings and profits, as determined under United States federal income tax principles. In addition, if we are considered a PRC tax resident enterprise for tax purposes, any dividends we pay to our overseas shareholders may be regarded as China-sourced income and as a result may be subject to PRC withholding tax. See “Taxation” for details.</w:t>
      </w: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62"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The HFCAA was enacted on December 18, 2020. Pursuant to the HFCAA and related regulations, if we have filed an audit report issued by a registered public accounting firm that the PCAOB has determined that it is unable to inspect and investigate completely, the SEC will identify us as a “Commission-identified Issuer,” and the trading of our securities on any U.S. national securities exchanges, as well as any over-the-counter trading in the United States, will be prohibited if we are identified as a Commission-identified Issuer for two consecutive years. 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328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832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63" w:lineRule="auto"/>
        <w:rPr>
          <w:sz w:val="20"/>
          <w:szCs w:val="20"/>
          <w:color w:val="auto"/>
        </w:rPr>
      </w:pPr>
      <w:r>
        <w:rPr>
          <w:rFonts w:ascii="Times New Roman" w:cs="Times New Roman" w:eastAsia="Times New Roman" w:hAnsi="Times New Roman"/>
          <w:sz w:val="18"/>
          <w:szCs w:val="18"/>
          <w:color w:val="auto"/>
        </w:rPr>
        <w:t>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w:t>
      </w:r>
    </w:p>
    <w:p>
      <w:pPr>
        <w:spacing w:after="0" w:line="332"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We have engaged a series of independent registered public accounting firms. We dismissed Marcum Asia and appointed Kreit &amp; Chiu as our independent registered public accounting firm, effective from January 24, 2025. We subsequently dismissed Kreit &amp; Chiu and appointed Guangdong Prouden as our independent registered public accounting firm. Marcum Asia, our former auditor, is an independent public accounting firm registered with the PCAOB. Marcum Asia is headquartered in the United States and is currently subject to PCAOB inspections on a regular basis and was not identified in the determination report made by the PCAOB in 2021. Kreit &amp; Chiu, another former auditor, is an independent public accounting firm registered with the PCAOB, headquartered in New York, and was not identified in the determination report made by the PCAOB on December 16, 2021. Our current auditor, Guangdong Prouden, is an independent registered public accounting firm registered with the PCAOB and is subject to PCAOB inspections on a regular basis. Guangdong Prouden was not identified in the PCAOB’s 2021 determination report.</w:t>
      </w:r>
    </w:p>
    <w:p>
      <w:pPr>
        <w:spacing w:after="0" w:line="340"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However, whether the PCAOB will re-evaluate its determination as a result of any obstruction with the implementation of the Statement of Protocol in the future is subject to uncertainties and depends on a number of factors out of our and our auditor’s control. The PCAOB continues to demand complete access in mainland China and Hong Kong moving forward and to pursue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in 2024 and beyond, or if we otherwise fail to meet the PCAOB’s requirements, the Ordinary Shares will be delisted from the Nasdaq Stock Market, and Ordinary Shares will not be permitted for trading over the counter in the United States under the HFCAA and related regulations. The related risks and uncertainties could cause the value of the Ordinary Shares to significantly decline or become worthless.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w:t>
      </w:r>
    </w:p>
    <w:p>
      <w:pPr>
        <w:spacing w:after="0" w:line="200" w:lineRule="exact"/>
        <w:rPr>
          <w:sz w:val="20"/>
          <w:szCs w:val="20"/>
          <w:color w:val="auto"/>
        </w:rPr>
      </w:pP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CSRC Filing</w:t>
      </w:r>
    </w:p>
    <w:p>
      <w:pPr>
        <w:spacing w:after="0" w:line="148"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On February 17, 2023, the CSRC promulgated the Overseas Listing Trial Measures and circulated five supporting guidelines, which became effective on March 31, 2023. The Overseas Listing Trial Measures will comprehensively improve and reform the existing regulatory regime for overseas offering and listing of PRC domestic companies’ securities and will regulate both direct and indirect overseas offering and listing of PRC domestic companies’ securities by adopting a filing-based regulatory regime.</w:t>
      </w:r>
    </w:p>
    <w:p>
      <w:pPr>
        <w:spacing w:after="0" w:line="116"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According to the Overseas Listing Trial Measures, PRC domestic companies that seek to offer and list securities in overseas markets, either in direct or indirect means, are required to fulfill the filing procedure with the CSRC and report relevant information. The Overseas Listing Trial Measures provides that an overseas listing or offering is explicitly prohibited, if any of the following: (1) such securities offering and listing is explicitly prohibited by provisions in laws, administrative regulations and relevant state rules;</w:t>
      </w:r>
    </w:p>
    <w:p>
      <w:pPr>
        <w:spacing w:after="0" w:line="3" w:lineRule="exact"/>
        <w:rPr>
          <w:sz w:val="20"/>
          <w:szCs w:val="20"/>
          <w:color w:val="auto"/>
        </w:rPr>
      </w:pPr>
    </w:p>
    <w:p>
      <w:pPr>
        <w:jc w:val="both"/>
        <w:ind w:left="1280" w:right="399" w:hanging="2"/>
        <w:spacing w:after="0" w:line="251" w:lineRule="auto"/>
        <w:tabs>
          <w:tab w:leader="none" w:pos="15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securities offering and listing may endanger national security as reviewed and determined by competent authorities under the State Council in accordance with law; (3) the domestic company intending to make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(4) the domestic company intending to make the securities offering and listing is currently under investigations for suspicion of criminal offenses or major violations of laws and regulations, and no conclusion has yet been made thereof; or (5) there are material</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ownership disputes over equity held by the domestic company’s controlling shareholder(s) or by other shareholder(s) that are controlled by the controlling shareholder(s) and/or actual controller.</w:t>
      </w:r>
    </w:p>
    <w:p>
      <w:pPr>
        <w:spacing w:after="0" w:line="94"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The Overseas Listing Trial Measures also provides that if the issuer meets both the following criteria, the overseas securities offering and listing conducted by such issuer will be deemed as indirect overseas offering by PRC domestic companies: (1) 50% or more of any of the issuer’s operating revenue, total profit, total assets or net assets as documented in its audited consolidated financial statements for the most recent fiscal year is accounted for by domestic companies; and (2)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Where an issuer submits an application for initial public offering to competent overseas regulators, such issuer must file with the CSRC within three business days after such application is submitted. In addition, the Overseas Listing Trial Measures provides that the direct or indirect overseas listings of the assets of domestic companies through one or more acquisitions, share swaps, transfers or other transaction arrangements shall be subject to filing procedures in accordance with the Overseas Listing Trial Measures, which filing shall be submitted within three business days after the issuer submits its application documents relating to the initial public offering and/or listing or after the first public announcement of the relevant transaction (if the submission of relevant application documents is not required). The Overseas Listing Trial Measures also requires subsequent reports to be filed with the CSRC on material events, such as change of control or voluntary or forced delisting of the issuer(s) who have completed overseas offerings and listings.</w:t>
      </w:r>
    </w:p>
    <w:p>
      <w:pPr>
        <w:spacing w:after="0" w:line="342"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Guidance for Application of Regulatory Rules — Overseas Offering and Listing No. 1, promulgated by CSRC together with the Overseas Listing Trial Measures, provides that if a domestic enterprise completes an overseas offering through an overseas special purposes acquisition company, it shall submit the filing materials within three business days after such overseas special purposes acquisition company publicly announces such acquisition transaction. In addition, according to the Notice on Administration for the Filing of Overseas Offering and Listing by Domestic Enterprises published by CSRC on its official website on February 17, 2023, companies that have already been listed on overseas stock exchanges prior to March 31, 2023 or the companies that have obtained the approval from overseas supervision administrations or stock exchanges for its offering and listing prior to March 31, 2023 and will complete their overseas offering and listing prior to September 30, 2023 are not required to make immediate filings for its listing, but are required to make filings for subsequent offerings in accordance with the Overseas Listing Trial Measures. Companies that have already submitted an application for an initial public offering to overseas supervision administrations but have not yet obtained the approval from overseas supervision administrations or stock exchanges for the offering and listing prior to March 31, 2023 may arrange for the filing within a reasonable time period and should complete the required CSRC filing procedure, the completion of which will be published on the CSRC website, before such companies’ overseas issuance and listing.</w:t>
      </w:r>
    </w:p>
    <w:p>
      <w:pPr>
        <w:spacing w:after="0" w:line="114"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We completed the filing procedures in connection with the Business Combination under the Overseas Listing Trial Measures on January 2, 2024, and the result of such CSRC approval was posted on the official website of the CSRC on the same date. We are not required to complete the CSRC filing procedures and obtain the CSRC approval under the Overseas Listing Trial Measures in connection with the resale of Registered Securities as described in this prospectus, because the resale of Registered Securities, including the Ordinary Shares issuable from the exercise of Warrants, does not involve the issuance of new securities of our Company that have not been previously included in our filing with the CSRC in connection with the Business Combination.</w:t>
      </w:r>
    </w:p>
    <w:p>
      <w:pPr>
        <w:spacing w:after="0" w:line="337"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Pursuant to the Overseas Listing Trial Measures, we may need to complete filing procedures for future offshore fund-raising activities, including conducting follow-on offering in the United States. Any failure or perceived failure by us to comply with such filing requirements under the Overseas Listing Trial Measures may result in forced rectification, warnings and fines against us and could materially hinder our ability to raise fund overseas. See “Item 3. Key Information — D. Risk Factors — Risks Related to Doing Business in China — The filing with the CSRC may be required in connection with future overseas fund-raising activities, and we cannot predict whether we will be able to obtain such approval or complete such filing” in our 2025 20-F.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On February 24, 2023, the CSRC, the Ministry of Finance, the National Administration of State Secrets Protection and the National Archives Administration released the revised Provisions on Strengthening Confidentiality and Archives Administration of Overseas Securities Offering and Listing by Domestic Companies (the “Archives Rules”), which became effective on March 31, 2023. The Archives Rules regulate both overseas direct offerings and overseas indirect offerings, providing that, among other things:</w:t>
      </w:r>
    </w:p>
    <w:p>
      <w:pPr>
        <w:spacing w:after="0" w:line="102" w:lineRule="exact"/>
        <w:rPr>
          <w:sz w:val="20"/>
          <w:szCs w:val="20"/>
          <w:color w:val="auto"/>
        </w:rPr>
      </w:pPr>
    </w:p>
    <w:p>
      <w:pPr>
        <w:jc w:val="both"/>
        <w:ind w:left="1820" w:right="399" w:hanging="182"/>
        <w:spacing w:after="0" w:line="261"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overseas listing activities of PRC enterprises, the PRC enterprises are required to strictly comply with the relevant requirements on confidentiality and archives management, establish a sound confidentiality and archives system, and take necessary measures to implement their confidentiality and archives management responsibilities;</w:t>
      </w:r>
    </w:p>
    <w:p>
      <w:pPr>
        <w:spacing w:after="0" w:line="85" w:lineRule="exact"/>
        <w:rPr>
          <w:rFonts w:ascii="Times New Roman" w:cs="Times New Roman" w:eastAsia="Times New Roman" w:hAnsi="Times New Roman"/>
          <w:sz w:val="18"/>
          <w:szCs w:val="18"/>
          <w:color w:val="auto"/>
        </w:rPr>
      </w:pPr>
    </w:p>
    <w:p>
      <w:pPr>
        <w:jc w:val="both"/>
        <w:ind w:left="1820" w:right="399" w:hanging="182"/>
        <w:spacing w:after="0" w:line="258"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course of an overseas offering and listing, if a PRC enterprise needs to publicly disclose or provide to securities companies or securities service providers and overseas regulators, any materials that contain relevant state secrets, government work secrets or information that has a sensitive impact (i.e., be detrimental to national security or the public interest if divulged), the PRC enterprise should complete the relevant approval/filing and other regulatory procedures; and</w:t>
      </w:r>
    </w:p>
    <w:p>
      <w:pPr>
        <w:spacing w:after="0" w:line="88"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papers produced in the PRC by securities companies and securities service providers, which provide PRC enterprises with securities services during their overseas issuance and listing, should be stored in the PRC, and competent PRC authorities must approve the transmission of all such working papers to recipients outside the PRC.</w:t>
      </w:r>
    </w:p>
    <w:p>
      <w:pPr>
        <w:spacing w:after="0" w:line="112"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Any failure or perceived failure by us to comply with the Archives Rules and the confidentiality requirements and other PRC laws and regulations may result in us being held legally liable by competent authorities.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Regulatory Licenses for Our Operations in China</w:t>
      </w:r>
    </w:p>
    <w:p>
      <w:pPr>
        <w:spacing w:after="0" w:line="162"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We have obtained (1) five registration certificates for microwave ablation therapeutic apparatus; (2) a number of registration certificates for microwave ablation needles; and (3) one registration certificate for disposable sterile biopsy needle. On May 25, 2021, we obtained the Manufacture License for Class II and Class III Medical Devices for its existing microwave ablation products in China, which is valid until May 24, 2026. We do not believe that the 2022 Supervisory and Administrative Measures for Production will have a material impact on our business operations because (1) the updates and revisions to the 2022 Supervisory and Administrative Measures for Production do not affect the validity of the production license obtained by us on May 25, 2021, which remains applicable and is sufficient for us to satisfy relevant requirements under the 2022 Supervisory and Administrative Measures for Production, (2) during the process of obtaining the registration certificate for Class III thyroid medical devices, we passed an audit, performed by the National Medical Products Administration and in accordance with the 2022 Supervisory and Administrative Measures for Production, for the period from February 9, 2023, to February 10, 2023, and (3) after obtaining the registration certificate for its single-use sterile biopsy needle product, we applied to add “Class II: 14-01 Injection and Puncture Instruments” to the production scope of the medical device production license, and obtained the updated medical device production license on October 16, 2023 in accordance with the 2022 Supervisory and Administrative Measures for Production. As of the date of this prospectus, we are subject to and in compliance with the 2022 Supervisory and Administrative Measures for Production.</w:t>
      </w:r>
    </w:p>
    <w:p>
      <w:pPr>
        <w:spacing w:after="0" w:line="328"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See “Item 3. Key Information — D. Risk Factors — Risks Related to Doing Business in China” in our 2025 20-F for details.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2"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Our business and our industry are subject to significant risks. You should carefully consider all of the information set forth in this prospectus and in our other filings with the SEC, including the following risk factors, in evaluating our business. If any of the following risks actually occur, our business, financial condition, results of operations, and growth prospects would likely be materially and adversely affected. This prospectus also contains forward-looking statements that involve risks and uncertainties. See the section entitled “Forward-Looking Statements.”</w:t>
      </w:r>
    </w:p>
    <w:p>
      <w:pPr>
        <w:sectPr>
          <w:pgSz w:w="11900" w:h="16838" w:orient="portrait"/>
          <w:cols w:equalWidth="0" w:num="1">
            <w:col w:w="9879"/>
          </w:cols>
          <w:pgMar w:left="580" w:top="97" w:right="1440" w:bottom="1440" w:gutter="0" w:footer="0" w:header="0"/>
        </w:sectPr>
      </w:pPr>
    </w:p>
    <w:p>
      <w:pPr>
        <w:spacing w:after="0" w:line="39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334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823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2" w:lineRule="exact"/>
        <w:rPr>
          <w:sz w:val="20"/>
          <w:szCs w:val="20"/>
          <w:color w:val="auto"/>
        </w:rPr>
      </w:pPr>
    </w:p>
    <w:p>
      <w:pPr>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Risks and uncertainties relating to our business and industry include, but are not limited to, the following:</w:t>
      </w:r>
    </w:p>
    <w:p>
      <w:pPr>
        <w:spacing w:after="0" w:line="315" w:lineRule="exact"/>
        <w:rPr>
          <w:sz w:val="20"/>
          <w:szCs w:val="20"/>
          <w:color w:val="auto"/>
        </w:rPr>
      </w:pPr>
    </w:p>
    <w:p>
      <w:pPr>
        <w:ind w:left="1820" w:right="39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not be indicative of its future growth and makes it difficult to predict our future prospects, including business and financial performance.</w:t>
      </w:r>
    </w:p>
    <w:p>
      <w:pPr>
        <w:spacing w:after="0" w:line="26"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operating results may not be representative of future performance.</w:t>
      </w:r>
    </w:p>
    <w:p>
      <w:pPr>
        <w:spacing w:after="0" w:line="10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maintain or renew the regulatory filings and registration certificates needed to commercialize its microwave medical devices in a timely manner, or at all.</w:t>
      </w:r>
    </w:p>
    <w:p>
      <w:pPr>
        <w:spacing w:after="0" w:line="40"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or renew all the permits, licenses and certificates required for our business and operations.</w:t>
      </w:r>
    </w:p>
    <w:p>
      <w:pPr>
        <w:spacing w:after="0" w:line="26"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or renew its relationship with existing distributors and customers, or maintain our sales network.</w:t>
      </w:r>
    </w:p>
    <w:p>
      <w:pPr>
        <w:spacing w:after="0" w:line="40"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may be affected by the level of medical insurance reimbursement available to patients using our products.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62" w:lineRule="exact"/>
        <w:rPr>
          <w:sz w:val="20"/>
          <w:szCs w:val="20"/>
          <w:color w:val="auto"/>
        </w:rPr>
      </w:pPr>
    </w:p>
    <w:p>
      <w:pPr>
        <w:jc w:val="both"/>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related to being based in and having significant operations in China, and therefore are subject to risks associated with doing business in China generally. Risks and uncertainties related to doing business in China could result in a material adverse change in our operations, significantly limit or completely hinder our ability to offer our securities to investors, and cause the value of our securities to significantly decline or become worthless. Such risks and uncertainties include, but not limited to, the following:</w:t>
      </w:r>
    </w:p>
    <w:p>
      <w:pPr>
        <w:spacing w:after="0" w:line="74" w:lineRule="exact"/>
        <w:rPr>
          <w:sz w:val="20"/>
          <w:szCs w:val="20"/>
          <w:color w:val="auto"/>
        </w:rPr>
      </w:pPr>
    </w:p>
    <w:p>
      <w:pPr>
        <w:jc w:val="both"/>
        <w:ind w:left="1820" w:right="399" w:hanging="182"/>
        <w:spacing w:after="0" w:line="253"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Chinese government has significant authority to intervene or influence our operations at any time, and to exert more control over offerings conducted overseas and/or foreign investment in China-based issuers. For details, see “Item 3. Key Information — D. Risk Factors — Risks Related to Doing Business in China — 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 Recent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 and “— The filing with the CSRC may be required in connection with future overseas fund-raising activities, and we cannot predict whether we will be able to obtain such approval or complete such filing” in our 2025 20-F.</w:t>
      </w:r>
    </w:p>
    <w:p>
      <w:pPr>
        <w:spacing w:after="0" w:line="65" w:lineRule="exact"/>
        <w:rPr>
          <w:rFonts w:ascii="Times New Roman" w:cs="Times New Roman" w:eastAsia="Times New Roman" w:hAnsi="Times New Roman"/>
          <w:sz w:val="18"/>
          <w:szCs w:val="18"/>
          <w:color w:val="auto"/>
        </w:rPr>
      </w:pPr>
    </w:p>
    <w:p>
      <w:pPr>
        <w:jc w:val="both"/>
        <w:ind w:left="1820" w:right="399" w:hanging="182"/>
        <w:spacing w:after="0" w:line="255"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securities may be delisted under the HFCAA if the PCAOB is unable to inspect auditors who are located in mainland China and Hong Kong.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54"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impact from PRC economic, political and social conditions, as well as changes in any government policies, laws and regulations. For details, see “Item 3. Key Information — D. Risk Factors — Risks Related to Doing Business in China — 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and “— Adverse changes in economic and political policies of the PRC government could negatively impact China’s overall economic growth, which could materially adversely affect our business” in our 2025 20-F.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379" w:hanging="182"/>
        <w:spacing w:after="0" w:line="258"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uncertainties with respect to the PRC legal system, including such relating to the enforcement of rules and regulations in China and the risk that rules and regulations can change quickly with little advance notice. For details, see “Item 3. Key Information — D. Risk Factors —  Risks Related to Doing Business in China — Uncertainties in the interpretation and enforcement of PRC laws, rules and regulations could materially adversely affect our business” in our 2025 20-F.</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 and this Offering</w:t>
      </w:r>
    </w:p>
    <w:p>
      <w:pPr>
        <w:spacing w:after="0" w:line="121" w:lineRule="exact"/>
        <w:rPr>
          <w:sz w:val="20"/>
          <w:szCs w:val="20"/>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securities may be volatile, and the value of our securities may decline.</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to purchase Ordinary Shares will increase the number of shares eligible for future resale in the public market and result in dilution to our shareholders.</w:t>
      </w:r>
    </w:p>
    <w:p>
      <w:pPr>
        <w:spacing w:after="0" w:line="53"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Registered Securities, or the perception of such sales, by the Selling Securityholders pursuant to this prospectus in the public market or otherwise could cause the market price for our Ordinary Shares to decline.</w:t>
      </w:r>
    </w:p>
    <w:p>
      <w:pPr>
        <w:spacing w:after="0" w:line="54"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 foreign private issuer, and as a result, will not be subject to U.S. proxy rules and will be subject to Exchange Act reporting obligations that, to some extent, are more lenient and less frequent than those of a U.S. domestic public company.</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58"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p>
    <w:p>
      <w:pPr>
        <w:spacing w:after="0" w:line="75"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48" w:lineRule="exact"/>
        <w:rPr>
          <w:sz w:val="20"/>
          <w:szCs w:val="20"/>
          <w:color w:val="auto"/>
        </w:rPr>
      </w:pPr>
    </w:p>
    <w:p>
      <w:pPr>
        <w:jc w:val="both"/>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328"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30" w:lineRule="exact"/>
        <w:rPr>
          <w:sz w:val="20"/>
          <w:szCs w:val="20"/>
          <w:color w:val="auto"/>
        </w:rPr>
      </w:pPr>
    </w:p>
    <w:p>
      <w:pPr>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(i) following the fifth anniversary of the consummation of the Business Combination, (ii) in which we have</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57" w:lineRule="auto"/>
        <w:rPr>
          <w:sz w:val="20"/>
          <w:szCs w:val="20"/>
          <w:color w:val="auto"/>
        </w:rPr>
      </w:pPr>
      <w:r>
        <w:rPr>
          <w:rFonts w:ascii="Times New Roman" w:cs="Times New Roman" w:eastAsia="Times New Roman" w:hAnsi="Times New Roman"/>
          <w:sz w:val="18"/>
          <w:szCs w:val="18"/>
          <w:color w:val="auto"/>
        </w:rPr>
        <w:t>total annual gross revenue of at least US$1.235 billion, or (iii) in which we are deemed to be a large accelerated filer, which means the market value of Ordinary Shares that are held by non-affiliates exceeds US$700 million as of the last business day of its most recently completed second fiscal quarter; and (2) the date on which we have issued more than US$1.00 billion in non-convertible debt securities during the prior three-year period. References herein to “emerging growth company” have the meaning associated with it in the JOBS Act.</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w:t>
      </w:r>
    </w:p>
    <w:p>
      <w:pPr>
        <w:spacing w:after="0" w:line="162"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permitted to follow the corporate governance practices of its home country, the Cayman Islands, in lieu of the corporate governance standards of Nasdaq applicable to U.S. domestic companies. For example, we are not required to have a majority of the board consisting of independent directors nor have a compensation committee or a nominating and corporate governance committee consisting entirely of independent directors. We intend to follow its home country’s corporate governance practices as long as it remains a foreign private issuer. As a result, our shareholders may not have the same protection afforded to shareholders of U.S. domestic companies that are subject to Nasdaq corporate governance requirements. As a foreign private issuer, we are also subject to reduced disclosure requirements and are exempt from certain provisions of the U.S. securities rules and regulations applicable to U.S. domestic issuers such as the rules regulating solicitation of proxies and certain insider short-swing profit rules.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1280" w:right="399" w:firstLine="360"/>
        <w:spacing w:after="0" w:line="300"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The “Description of Our Securities” section of this prospectus contains a more detailed description of the Ordinary Shares.</w:t>
      </w:r>
    </w:p>
    <w:p>
      <w:pPr>
        <w:sectPr>
          <w:pgSz w:w="11900" w:h="16838" w:orient="portrait"/>
          <w:cols w:equalWidth="0" w:num="1">
            <w:col w:w="9879"/>
          </w:cols>
          <w:pgMar w:left="580" w:top="97" w:right="1440" w:bottom="1440" w:gutter="0" w:footer="0" w:header="0"/>
        </w:sectPr>
      </w:pPr>
    </w:p>
    <w:p>
      <w:pPr>
        <w:spacing w:after="0" w:line="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Issuance of Ordinary Shares</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Pursuant to Exercise of</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2" w:lineRule="exact"/>
        <w:rPr>
          <w:sz w:val="20"/>
          <w:szCs w:val="20"/>
          <w:color w:val="auto"/>
        </w:rPr>
      </w:pPr>
    </w:p>
    <w:p>
      <w:pPr>
        <w:ind w:left="1460" w:hanging="179"/>
        <w:spacing w:after="0" w:line="281" w:lineRule="auto"/>
        <w:rPr>
          <w:sz w:val="20"/>
          <w:szCs w:val="20"/>
          <w:color w:val="auto"/>
        </w:rPr>
      </w:pPr>
      <w:r>
        <w:rPr>
          <w:rFonts w:ascii="Times New Roman" w:cs="Times New Roman" w:eastAsia="Times New Roman" w:hAnsi="Times New Roman"/>
          <w:sz w:val="18"/>
          <w:szCs w:val="18"/>
          <w:color w:val="auto"/>
        </w:rPr>
        <w:t>Ordinary Shares issued and outstanding prior to exercise of all Warrants</w:t>
      </w:r>
    </w:p>
    <w:p>
      <w:pPr>
        <w:spacing w:after="0" w:line="56" w:lineRule="exact"/>
        <w:rPr>
          <w:sz w:val="20"/>
          <w:szCs w:val="20"/>
          <w:color w:val="auto"/>
        </w:rPr>
      </w:pPr>
    </w:p>
    <w:p>
      <w:pPr>
        <w:ind w:left="1460" w:right="240" w:hanging="179"/>
        <w:spacing w:after="0" w:line="281" w:lineRule="auto"/>
        <w:rPr>
          <w:sz w:val="20"/>
          <w:szCs w:val="20"/>
          <w:color w:val="auto"/>
        </w:rPr>
      </w:pPr>
      <w:r>
        <w:rPr>
          <w:rFonts w:ascii="Times New Roman" w:cs="Times New Roman" w:eastAsia="Times New Roman" w:hAnsi="Times New Roman"/>
          <w:sz w:val="18"/>
          <w:szCs w:val="18"/>
          <w:color w:val="auto"/>
        </w:rPr>
        <w:t>Ordinary Shares issuable upon exercise of all Warrants registered herein</w:t>
      </w:r>
    </w:p>
    <w:p>
      <w:pPr>
        <w:spacing w:after="0" w:line="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pacing w:after="0" w:line="121" w:lineRule="exact"/>
        <w:rPr>
          <w:sz w:val="20"/>
          <w:szCs w:val="20"/>
          <w:color w:val="auto"/>
        </w:rPr>
      </w:pPr>
    </w:p>
    <w:p>
      <w:pPr>
        <w:ind w:left="1460" w:right="220" w:hanging="179"/>
        <w:spacing w:after="0" w:line="282" w:lineRule="auto"/>
        <w:rPr>
          <w:sz w:val="20"/>
          <w:szCs w:val="20"/>
          <w:color w:val="auto"/>
        </w:rPr>
      </w:pPr>
      <w:r>
        <w:rPr>
          <w:rFonts w:ascii="Times New Roman" w:cs="Times New Roman" w:eastAsia="Times New Roman" w:hAnsi="Times New Roman"/>
          <w:sz w:val="18"/>
          <w:szCs w:val="18"/>
          <w:color w:val="auto"/>
        </w:rPr>
        <w:t>Ordinary Shares offered by the Selling Securityholders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42,208,763 Ordinary Shares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11,500,000 Ordinary Shares</w:t>
      </w:r>
    </w:p>
    <w:p>
      <w:pPr>
        <w:spacing w:after="0" w:line="117" w:lineRule="exact"/>
        <w:rPr>
          <w:sz w:val="20"/>
          <w:szCs w:val="20"/>
          <w:color w:val="auto"/>
        </w:rPr>
      </w:pPr>
    </w:p>
    <w:p>
      <w:pPr>
        <w:jc w:val="both"/>
        <w:ind w:right="399"/>
        <w:spacing w:after="0" w:line="252" w:lineRule="auto"/>
        <w:rPr>
          <w:sz w:val="20"/>
          <w:szCs w:val="20"/>
          <w:color w:val="auto"/>
        </w:rPr>
      </w:pPr>
      <w:r>
        <w:rPr>
          <w:rFonts w:ascii="Times New Roman" w:cs="Times New Roman" w:eastAsia="Times New Roman" w:hAnsi="Times New Roman"/>
          <w:sz w:val="18"/>
          <w:szCs w:val="18"/>
          <w:color w:val="auto"/>
        </w:rPr>
        <w:t>We will receive up to an aggregate of US$132,250,000 from the exercise of all Warrants, assuming the exercise in full of all of the Warrants for cash. The exercise price of the Warrants is US$11.50 per share, subject to adjustment as described herein. The closing price of Ordinary Shares on Nasdaq on May 21, 2026 was US$1.64 per share. The likelihood that warrant holders will exercise the Warrants and any cash proceeds that we would receive is dependent upon the market price of our Ordinary Shares. Based on the closing price for our Ordinary Shares at US$1.64 on May 21, 2026, which is less than the exercise price of US$11.50 per share pursuant to the terms of the Warrants, we believe warrant holders will be unlikely to exercise their Warrants, and we are unlikely to receive proceeds from the exercise of Warrants. To the extent that we receive any net proceeds in connection with the exercise of Warrants, we expect to use such net proceeds for general corporate purposes. See the section titled “Use of Proceeds” appearing elsewhere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399"/>
        <w:spacing w:after="0" w:line="254" w:lineRule="auto"/>
        <w:rPr>
          <w:sz w:val="20"/>
          <w:szCs w:val="20"/>
          <w:color w:val="auto"/>
        </w:rPr>
      </w:pPr>
      <w:r>
        <w:rPr>
          <w:rFonts w:ascii="Times New Roman" w:cs="Times New Roman" w:eastAsia="Times New Roman" w:hAnsi="Times New Roman"/>
          <w:sz w:val="18"/>
          <w:szCs w:val="18"/>
          <w:color w:val="auto"/>
        </w:rPr>
        <w:t>Up to 34,415,562 Ordinary Shares, consisting of 27,463,627 issued and outstanding Ordinary Shares held by 16 shareholders of Betters Medical, 6,028,406 issued and outstanding Sponsor Shares, 50,000 issued and outstanding Ordinary Shares held by Cohen, 290,000 Ordinary Shares upon conversion of 290,000 GFC Shares in accordance with the terms of the Amended and Restated Articles of Association of the Company, and 583,529 issued and outstanding Ordinary Shares held by Grand Fortune Capital (H.K.) Company Limited.</w:t>
      </w:r>
    </w:p>
    <w:p>
      <w:pPr>
        <w:spacing w:after="0" w:line="80" w:lineRule="exact"/>
        <w:rPr>
          <w:sz w:val="20"/>
          <w:szCs w:val="20"/>
          <w:color w:val="auto"/>
        </w:rPr>
      </w:pPr>
    </w:p>
    <w:p>
      <w:pPr>
        <w:sectPr>
          <w:pgSz w:w="11900" w:h="16838" w:orient="portrait"/>
          <w:cols w:equalWidth="0" w:num="2">
            <w:col w:w="3820" w:space="480"/>
            <w:col w:w="5579"/>
          </w:cols>
          <w:pgMar w:left="580" w:top="97" w:right="1440" w:bottom="1440" w:gutter="0" w:footer="0" w:header="0"/>
          <w:type w:val="continuous"/>
        </w:sect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All of the securities offered by the Selling Securityholders pursuant</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to this prospectus will be sold by the Selling Securityholders for</w:t>
      </w:r>
    </w:p>
    <w:p>
      <w:pPr>
        <w:spacing w:after="0" w:line="9"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color w:val="auto"/>
        </w:rPr>
        <w:t>their respective accounts. We will not receive any of the proceeds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from such sales.</w:t>
      </w:r>
    </w:p>
    <w:p>
      <w:pPr>
        <w:spacing w:after="0" w:line="9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Offering price</w:t>
      </w:r>
      <w:r>
        <w:rPr>
          <w:sz w:val="20"/>
          <w:szCs w:val="20"/>
          <w:color w:val="auto"/>
        </w:rPr>
        <w:tab/>
      </w:r>
      <w:r>
        <w:rPr>
          <w:rFonts w:ascii="Times New Roman" w:cs="Times New Roman" w:eastAsia="Times New Roman" w:hAnsi="Times New Roman"/>
          <w:sz w:val="18"/>
          <w:szCs w:val="18"/>
          <w:color w:val="auto"/>
        </w:rPr>
        <w:t>The securities offered by this prospectus may be offered and sold at</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prevailing market prices, privately negotiated prices or such other</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prices as the Selling Securityholders may determine. See “Plan of</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Distribution.”</w:t>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Warrants issued and</w:t>
      </w:r>
    </w:p>
    <w:p>
      <w:pPr>
        <w:spacing w:after="0" w:line="27" w:lineRule="exact"/>
        <w:rPr>
          <w:sz w:val="20"/>
          <w:szCs w:val="20"/>
          <w:color w:val="auto"/>
        </w:rPr>
      </w:pPr>
    </w:p>
    <w:p>
      <w:pPr>
        <w:ind w:left="1460"/>
        <w:spacing w:after="0"/>
        <w:tabs>
          <w:tab w:leader="none" w:pos="4280" w:val="left"/>
        </w:tabs>
        <w:rPr>
          <w:sz w:val="20"/>
          <w:szCs w:val="20"/>
          <w:color w:val="auto"/>
        </w:rPr>
      </w:pPr>
      <w:r>
        <w:rPr>
          <w:rFonts w:ascii="Times New Roman" w:cs="Times New Roman" w:eastAsia="Times New Roman" w:hAnsi="Times New Roman"/>
          <w:sz w:val="18"/>
          <w:szCs w:val="18"/>
          <w:color w:val="auto"/>
        </w:rPr>
        <w:t>outstanding</w:t>
      </w:r>
      <w:r>
        <w:rPr>
          <w:sz w:val="20"/>
          <w:szCs w:val="20"/>
          <w:color w:val="auto"/>
        </w:rPr>
        <w:tab/>
      </w:r>
      <w:r>
        <w:rPr>
          <w:rFonts w:ascii="Times New Roman" w:cs="Times New Roman" w:eastAsia="Times New Roman" w:hAnsi="Times New Roman"/>
          <w:sz w:val="18"/>
          <w:szCs w:val="18"/>
          <w:color w:val="auto"/>
        </w:rPr>
        <w:t>11,500,000 Warrants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Lock-up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Market for our Ordinary Shares and Warrants</w:t>
      </w:r>
    </w:p>
    <w:p>
      <w:pPr>
        <w:spacing w:after="0" w:line="2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399"/>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dividend on our Ordinary Shares. We currently intend to retain any future earnings and do not expect to pay any dividends in the foreseeable future. Any further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w:t>
      </w:r>
    </w:p>
    <w:p>
      <w:pPr>
        <w:spacing w:after="0" w:line="84" w:lineRule="exact"/>
        <w:rPr>
          <w:sz w:val="20"/>
          <w:szCs w:val="20"/>
          <w:color w:val="auto"/>
        </w:rPr>
      </w:pPr>
    </w:p>
    <w:p>
      <w:pPr>
        <w:jc w:val="both"/>
        <w:ind w:right="399"/>
        <w:spacing w:after="0" w:line="256" w:lineRule="auto"/>
        <w:rPr>
          <w:sz w:val="20"/>
          <w:szCs w:val="20"/>
          <w:color w:val="auto"/>
        </w:rPr>
      </w:pPr>
      <w:r>
        <w:rPr>
          <w:rFonts w:ascii="Times New Roman" w:cs="Times New Roman" w:eastAsia="Times New Roman" w:hAnsi="Times New Roman"/>
          <w:sz w:val="18"/>
          <w:szCs w:val="18"/>
          <w:color w:val="auto"/>
        </w:rPr>
        <w:t>The securities being registered for resale by certain Selling Securityholders named in the prospectus are subject to a six-month lock-up period from October 1, 2024, subject to certain exceptions. The holders of Sponsor Shares are subject to lock-up requirement of up to one year following the consummation of the Business Combination, subject to certain exceptions.</w:t>
      </w:r>
    </w:p>
    <w:p>
      <w:pPr>
        <w:spacing w:after="0" w:line="295" w:lineRule="exact"/>
        <w:rPr>
          <w:sz w:val="20"/>
          <w:szCs w:val="20"/>
          <w:color w:val="auto"/>
        </w:rPr>
      </w:pPr>
    </w:p>
    <w:p>
      <w:pPr>
        <w:jc w:val="both"/>
        <w:ind w:right="399"/>
        <w:spacing w:after="0" w:line="282" w:lineRule="auto"/>
        <w:rPr>
          <w:sz w:val="20"/>
          <w:szCs w:val="20"/>
          <w:color w:val="auto"/>
        </w:rPr>
      </w:pPr>
      <w:r>
        <w:rPr>
          <w:rFonts w:ascii="Times New Roman" w:cs="Times New Roman" w:eastAsia="Times New Roman" w:hAnsi="Times New Roman"/>
          <w:sz w:val="18"/>
          <w:szCs w:val="18"/>
          <w:color w:val="auto"/>
        </w:rPr>
        <w:t>Our Ordinary Shares and Warrants are listed on Nasdaq under the trading symbols “BDMD” and “BDMD W,” respectively.</w:t>
      </w:r>
    </w:p>
    <w:p>
      <w:pPr>
        <w:spacing w:after="0" w:line="54" w:lineRule="exact"/>
        <w:rPr>
          <w:sz w:val="20"/>
          <w:szCs w:val="20"/>
          <w:color w:val="auto"/>
        </w:rPr>
      </w:pPr>
    </w:p>
    <w:p>
      <w:pPr>
        <w:jc w:val="both"/>
        <w:ind w:right="399"/>
        <w:spacing w:after="0" w:line="266" w:lineRule="auto"/>
        <w:rPr>
          <w:sz w:val="20"/>
          <w:szCs w:val="20"/>
          <w:color w:val="auto"/>
        </w:rPr>
      </w:pPr>
      <w:r>
        <w:rPr>
          <w:rFonts w:ascii="Times New Roman" w:cs="Times New Roman" w:eastAsia="Times New Roman" w:hAnsi="Times New Roman"/>
          <w:sz w:val="18"/>
          <w:szCs w:val="18"/>
          <w:color w:val="auto"/>
        </w:rPr>
        <w:t>Prospective investors should carefully consider the “Risk Factors” for a discussion of certain factors that should be considered before buying the securities offered hereby.</w:t>
      </w:r>
    </w:p>
    <w:p>
      <w:pPr>
        <w:spacing w:after="0" w:line="200" w:lineRule="exact"/>
        <w:rPr>
          <w:sz w:val="20"/>
          <w:szCs w:val="20"/>
          <w:color w:val="auto"/>
        </w:rPr>
      </w:pPr>
    </w:p>
    <w:p>
      <w:pPr>
        <w:sectPr>
          <w:pgSz w:w="11900" w:h="16838" w:orient="portrait"/>
          <w:cols w:equalWidth="0" w:num="2">
            <w:col w:w="3660" w:space="640"/>
            <w:col w:w="55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117" w:lineRule="exact"/>
        <w:rPr>
          <w:sz w:val="20"/>
          <w:szCs w:val="20"/>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0000EE"/>
          </w:rPr>
          <w:t>annual report on Form 20-F for the year ended December 31, 2025 filed with the SEC on</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April 24, 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hyperlink>
    </w:p>
    <w:p>
      <w:pPr>
        <w:spacing w:after="0" w:line="53" w:lineRule="exact"/>
        <w:rPr>
          <w:rFonts w:ascii="Times New Roman" w:cs="Times New Roman" w:eastAsia="Times New Roman" w:hAnsi="Times New Roman"/>
          <w:sz w:val="18"/>
          <w:szCs w:val="18"/>
          <w:color w:val="0000EE"/>
        </w:rPr>
      </w:pPr>
    </w:p>
    <w:p>
      <w:pPr>
        <w:jc w:val="both"/>
        <w:ind w:left="1800" w:right="419" w:hanging="180"/>
        <w:spacing w:after="0" w:line="259"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p>
      <w:pPr>
        <w:spacing w:after="0" w:line="322" w:lineRule="exact"/>
        <w:rPr>
          <w:rFonts w:ascii="Times New Roman" w:cs="Times New Roman" w:eastAsia="Times New Roman" w:hAnsi="Times New Roman"/>
          <w:sz w:val="18"/>
          <w:szCs w:val="18"/>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Our annual report for the year ended December 31, 2025 filed with the SEC on April 24, 2026 contains a description of our business and audited consolidated financial statements with reports by independent auditor. The consolidated financial statements are prepared and presented in accordance with the U.S. GAAP.</w:t>
      </w:r>
    </w:p>
    <w:p>
      <w:pPr>
        <w:spacing w:after="0" w:line="332" w:lineRule="exact"/>
        <w:rPr>
          <w:rFonts w:ascii="Times New Roman" w:cs="Times New Roman" w:eastAsia="Times New Roman" w:hAnsi="Times New Roman"/>
          <w:sz w:val="18"/>
          <w:szCs w:val="18"/>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336" w:lineRule="exact"/>
        <w:rPr>
          <w:rFonts w:ascii="Times New Roman" w:cs="Times New Roman" w:eastAsia="Times New Roman" w:hAnsi="Times New Roman"/>
          <w:sz w:val="18"/>
          <w:szCs w:val="18"/>
          <w:color w:val="auto"/>
        </w:rPr>
      </w:pPr>
    </w:p>
    <w:p>
      <w:pPr>
        <w:jc w:val="center"/>
        <w:ind w:left="1780" w:right="1360"/>
        <w:spacing w:after="0" w:line="275" w:lineRule="auto"/>
        <w:rPr>
          <w:sz w:val="20"/>
          <w:szCs w:val="20"/>
          <w:color w:val="auto"/>
        </w:rPr>
      </w:pPr>
      <w:r>
        <w:rPr>
          <w:rFonts w:ascii="Times New Roman" w:cs="Times New Roman" w:eastAsia="Times New Roman" w:hAnsi="Times New Roman"/>
          <w:sz w:val="18"/>
          <w:szCs w:val="18"/>
          <w:color w:val="auto"/>
        </w:rPr>
        <w:t>Room 202, 2/F, Baide Building, Building 11, No. 15 Rongtong Street, Yuexiu District, Guangzhou, Peoples Republic of China (86) 20 8218-5926</w:t>
      </w:r>
    </w:p>
    <w:p>
      <w:pPr>
        <w:spacing w:after="0" w:line="309" w:lineRule="exact"/>
        <w:rPr>
          <w:rFonts w:ascii="Times New Roman" w:cs="Times New Roman" w:eastAsia="Times New Roman" w:hAnsi="Times New Roman"/>
          <w:sz w:val="18"/>
          <w:szCs w:val="18"/>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0"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terminology such as “may,” “will,” “should,” “expect,” “plan,” “anticipate,” “could,” “intend,” “target,” “project,” “contemplate,” “believe,” “estimate,” “predict,” “potential” or “continue”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 as set forth in this prospectus.</w:t>
      </w:r>
    </w:p>
    <w:p>
      <w:pPr>
        <w:spacing w:after="0" w:line="12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spacing w:after="0" w:line="68"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have been or may be instituted against 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Ordinary Shares on Nasdaq;</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markets are rapidly evolving and may decline or experience limited growth;</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customer base;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the markets in which we operate;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and enhance our brand;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rapidly changing and increasingly stringent laws, contractual obligations and industry standards relating to our operations;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matters described in the section titled “Risk Factors.”</w:t>
      </w:r>
    </w:p>
    <w:p>
      <w:pPr>
        <w:spacing w:after="0" w:line="14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caution you against placing undue reliance on forward-looking statements, which reflect current beliefs and are based on information currently available to us as of the date a forward-looking statement is made. Forward-looking statements set forth herein speak only as of the date of this prospectus.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accessible at www.sec.gov, and which you are advised to consult.</w:t>
      </w:r>
    </w:p>
    <w:p>
      <w:pPr>
        <w:spacing w:after="0" w:line="33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Market and industry data used throughout this prospectus involve a number of assumptions and limitations, and you are cautioned not to give undue weight to such estimates. While we are not aware of any misstatements regarding the industry data presented herein, such estimates involve risks and uncertainties and are subject to change based on various factors, including those discussed in the section entitled “Risk Factors” and elsewhere in this prospectus may adversely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Investing in the securities involves risk. Before investing in any of the securities that may be offered or sold pursuant to this prospectus, you should carefully consider the risk factors and uncertainties described in this section related to this offering, and those under the heading “Item 3. Key Information — D. Risk Factors” in our 2025 20 -F, which are incorporated in this prospectus by reference, as updated by our subsequent filings under the Exchange Act, and, if applicable, in any or documents incorporated by reference. These risks and uncertainties could materially affect our business, results of operations or financial condition and cause the value of the securities to decline. You could lose all or part of your investment.</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this Offering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securities may be volatile, and the value of our securities may decline.</w:t>
      </w:r>
    </w:p>
    <w:p>
      <w:pPr>
        <w:spacing w:after="0" w:line="14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cannot predict the prices at which our securities will trade. The price of our securities may not bear any relationship to the market price at which our securities traded immediately after the Business Combination or to any other established criteria of the value of our business and prospects, and the market price of our securities may fluctuate substantially and may be lower than the price agreed by ExcelFin and us in connection with the Business Combination. In addition, the trading price of our securities has been and is likely to continue to be volatile, and could fluctuate widely in response to various factors, some of which are beyond its control. The volatility of and fluctuations in the trading price of our Ordinary Shares could cause you to lose all or part of your investment. Factors that could cause fluctuations in the trading price of our securities include the following:</w:t>
      </w:r>
    </w:p>
    <w:p>
      <w:pPr>
        <w:spacing w:after="0" w:line="300"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business;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or our competitors of significant business developments, acquisitions or new offerings;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by our shareholders or warrant holders, including the sales of the Registered Securities as described in this prospectus, as well as the anticipation of lockup releases;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breaches of, disruptions to or other incidents involving our information technology systems or those of our business partners;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material litigation;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developments affecting the medical technology industry in China;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global pandemics or responses to these events.</w:t>
      </w:r>
    </w:p>
    <w:p>
      <w:pPr>
        <w:spacing w:after="0" w:line="15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Warrants to purchase the Ordinary Shares will increase the number of shares eligible for future resale in the public market and result in dilution to our shareholders.</w:t>
      </w:r>
    </w:p>
    <w:p>
      <w:pPr>
        <w:spacing w:after="0" w:line="91"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Upon the consummation of the Business Combination, outstanding ExcelFin Warrants were assumed by us and converted into corresponding warrants to purchase an aggregate of 11,500,000 Ordinary Shares. The Assumed Public Warrants will expire five years after the completion of the Business Combination. Each Assumed Public Warrant entitles the holder thereof to purchase one Ordinary Share at a price of US$11.50 per whole share, subject to adjustment. The Assumed Public Warrants may be exercised only for a whole number of the Ordinary Shares. To the extent such warrants are exercised, additional Ordinary Shares will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issued, which will result in dilution to the then-existing holders of the Ordinary Shares and increase the number of shares eligible for resale in the public market. Sales of substantial numbers of such shares in the public market could adversely affect the market price of the Ordinary Shares. The exclusive forum provision in the amended and restated warrant agreement can result in increased costs to investors to bring a claim.</w:t>
      </w:r>
    </w:p>
    <w:p>
      <w:pPr>
        <w:spacing w:after="0" w:line="187"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The warrant agreement relating to the Assumed Public Warrants provides that we agree that any action, proceeding or claim against us arising out of or relating in any way to such agreement will be brought and enforced in the courts of the State of New York or the United States District Court for the Southern District of New York, and that we irrevocably submit to such jurisdiction, which jurisdiction will be the exclusive forum for any such action, proceeding or claim. This exclusive forum provision could limit Assumed Public Warrant holders’ ability to obtain what they believe to be a favorable judicial forum for disputes related to the A&amp;R Warrant Agreement.</w:t>
      </w:r>
    </w:p>
    <w:p>
      <w:pPr>
        <w:spacing w:after="0" w:line="101"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A&amp;R Warrant Agreement on October 1, 2024, which relates to the Assumed Public Warrants. The A&amp;R Warrant Agreement provides that any action, proceeding or claim against us arising out of or relating in any way to such agreement will be brought and enforced in the courts of the State of New York or the United States District Court for the Southern District of New York, which will be the exclusive forum for any such action, proceeding or claim. This provision will apply to claims under the Securities Act but, as discussed below, will not apply to claims under the Exchange Act.</w:t>
      </w:r>
    </w:p>
    <w:p>
      <w:pPr>
        <w:spacing w:after="0" w:line="325"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in the A&amp;R Warrant Agreement will not apply to suits brought to enforce any duty or liability created by the Exchange Act or any other claim for which the federal courts have exclusive jurisdiction. Accordingly, the exclusive forum provision does not designate the courts of the State of New York as the exclusive forum for any derivative action arising under the Exchange Act, as there is exclusive federal jurisdiction in that instance.</w:t>
      </w:r>
    </w:p>
    <w:p>
      <w:pPr>
        <w:spacing w:after="0" w:line="114"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the enforceability of the exclusive forum provision in the A&amp;R Warrant Agreement is uncertain, and a court may determine that such provision will not apply to suits brought to enforce any duty or liability created by the Securities Act or any other claim for which the federal and state courts have concurrent jurisdiction. Further, compliance with the federal securities laws and the rules and regulations thereunder cannot be waived by investors in our securities.</w:t>
      </w:r>
    </w:p>
    <w:p>
      <w:pPr>
        <w:spacing w:after="0" w:line="114"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exclusive forum provision in the A&amp;R Warrant Agreement may limit a shareholder’s ability to bring a claim in a judicial forum that it finds favorable for disputes related to the A&amp;R Warrant Agreement, which may discourage such lawsuits against us and our directors or officers. Alternatively, if a court were to find this exclusive forum provision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Warrants may never be in the money, and they may expire worthless.</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exercise price for our Warrants is US$11.50 per share (subject to adjustment as described herein), which exceeds the closing price of the Ordinary Shares of US$1.64 per share on May 21, 2026. The likelihood that warrant holders will exercise the Warrants and any cash proceeds that we would receive is dependent upon the market price of the Ordinary Shares. If the market price for the Ordinary Shares is less than US$11.50 per share, we believe warrant holders will be unlikely to exercise their Warrants, and we are unlikely to receive proceeds from the exercise of Warrants.</w:t>
      </w:r>
    </w:p>
    <w:p>
      <w:pPr>
        <w:spacing w:after="0" w:line="176"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Assumed Public Warrants prior to their exercise at a time that is disadvantageous to you, thereby making your Assumed Public Warrants worthless.</w:t>
      </w:r>
    </w:p>
    <w:p>
      <w:pPr>
        <w:spacing w:after="0" w:line="90"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After the Closing, we have the ability to redeem the outstanding Assumed Public Warrants at any time after they become exercisable and prior to their expiration, at a price of US$0.01 per warrant, if, among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things, the last reported sale price of the Ordinary Shares equals or exceeds US$18.00 per share (as adjusted for share sub -divisions, share capitalizations, reorganizations, recapitalizations and the like). If and when the Assumed Public Warrants become redeemable, we may exercise such redemption right even if it is unable to register or qualify the underlying securities for sale under all applicable state securities laws. Redemption of the outstanding Assumed Public Warrants as described above could force you to (1) exercise your warrants and pay the exercise price therefor at a time when it may be disadvantageous for you to do so,</w:t>
      </w:r>
    </w:p>
    <w:p>
      <w:pPr>
        <w:spacing w:after="0" w:line="5" w:lineRule="exact"/>
        <w:rPr>
          <w:sz w:val="20"/>
          <w:szCs w:val="20"/>
          <w:color w:val="auto"/>
        </w:rPr>
      </w:pPr>
    </w:p>
    <w:p>
      <w:pPr>
        <w:jc w:val="both"/>
        <w:ind w:left="1260" w:right="419"/>
        <w:spacing w:after="0" w:line="246" w:lineRule="auto"/>
        <w:tabs>
          <w:tab w:leader="none" w:pos="15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your warrants at the then-current market price when you might otherwise wish to hold your warrants or (3) accept the nominal redemption price which, at the time the outstanding warrants are called for redemption, is expected to be substantially less than the market value of the Assumed Public Warrants.</w:t>
      </w:r>
    </w:p>
    <w:p>
      <w:pPr>
        <w:spacing w:after="0" w:line="177"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Sales of the Registered Securities, or the perception of such sales, by the Selling Securityholders pursuant to this prospectus in the public market or otherwise could cause the market price for our Class A Ordinary Shares to decline.</w:t>
      </w:r>
    </w:p>
    <w:p>
      <w:pPr>
        <w:spacing w:after="0" w:line="101"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sale of the Registered Securities in the public market or otherwise, including sales pursuant to this prospectus, or the perception that such sales could occur, could increase the volatility of the market price of the Ordinary Shares or result in a significant decline in the public trading price of the Ordinary Shares. These sales, or the possibility that these sales may occur, also might make it more difficult for us to sell equity securities in the future at a time and at a price that we deem appropriate. Resales of the Registered Securities may cause the market price of our securities to drop significantly, even if our business is doing well.</w:t>
      </w:r>
    </w:p>
    <w:p>
      <w:pPr>
        <w:spacing w:after="0" w:line="325"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Following the expiration of the applicable lock -up period described in this prospectus and as restrictions on resale end and registration statements are available for use, the market price of the Ordinary Shares could decline if the holders of restricted or locked-up shares sell them or are perceived by the market as intending to sell them. As such, sales of a substantial number of the Ordinary Shares in the public market could occur at any time following the expiration of the applicable lock-up period described in this prospectus. These sales, or the perception in the market that the holders of a large number of Registered Securities intend to sell such shares, could reduce the market price of the Ordinary Shares.</w:t>
      </w:r>
    </w:p>
    <w:p>
      <w:pPr>
        <w:spacing w:after="0" w:line="11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relates to the potential offer and sale from time to time by the Selling Securityholders of up to 34,415,562 Ordinary Shares, including (1) 27,463,627 issued and outstanding Ordinary Shares held by 16 shareholders of Betters Medical, which were issued to Betters Medical in connection with the Business Combination valued at US$10.20 per share and distributed to the existing shareholders of Betters Medical as a stock dividend through a pro rata distribution in proportion to Betters Medical’s shareholding structure on June 25, 2025; (2) 6,028,406 issued and outstanding Sponsor Shares, comprising (x) 5,750,000 Ordinary Shares exchanged from 5,750,000 ExcelFin Class A Common Stock purchased by the Sponsor at a price of approximately US$0.004 per share; and (y) 278,406 Ordinary Shares converted from the aggregate outstanding balance of certain working capital loans provided to ExcelFin by the Sponsor and its affiliates at a conversion price of US$10.20 per share; (3) 50,000 issued and outstanding Ordinary Shares currently held by Cohen, which were issued to Cohen valued at US$10.00 per share; (4) up to 290,000 Ordinary Shares by GFC upon conversion of 290,000 GFC Shares acquired by GFC in a private placement concurrently with the closing of the Business Combination at US$10.00 per share in accordance with the terms of the Amended and Restated Articles of Association of the Company; and (5) 583,529 issued and outstanding Ordinary Shares currently held by Grand Fortune Capital (H.K.) Company Limited (“Grand Fortune”), which were issued to Grand Fortune valued at US$6.75 per share.</w:t>
      </w:r>
    </w:p>
    <w:p>
      <w:pPr>
        <w:spacing w:after="0" w:line="11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Subject to the lock-up restrictions described in this prospectus under the section titled “Plan of Distribution,” and assuming the Earnout Shares will be vested, the Registered Securities being offered for resale pursuant to this prospectus by the Selling Securityholders include up to 34,415,562 Ordinary Shares, constituting (on a post-exercise basis) approximately 70.9% of our issued and outstanding Ordinary Shares as of the date of this prospectus (assuming the exercise of all of our outstanding Warrants and full conversion of GFC Shares into 290,000 Ordinary Shares). Despite a potential decline in the public trading price of the Ordinary Shares, certain Selling Securityholders may still experience a positive rate of return on the securities that they sell pursuant to this prospectus as they have acquired the securities registered hereunder at prices substantially below current market prices, and may therefore have an incentive to sell their securities. For example, based on the closing price of our Ordinary Shares at US$1.64 on May 21, 2026, the holders of Sponsor Shares may experience a potential profit of up to US$1.636 per share; and certain shareholders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Betters Medical following the Pro Rata Distribution may experience a potential profit of up to US$1.45 per share. The holders of Public Warrants may experience a potential profit on their Warrants if the price of our Ordinary Shares exceeds US$11.50 per share.</w:t>
      </w:r>
    </w:p>
    <w:p>
      <w:pPr>
        <w:spacing w:after="0" w:line="10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Public securityholders who purchased our securities at higher prices than the Selling Securityholders may experience lower rates of return (if any) than the Selling Securityholders, due to differences in purchase price and the potential trading price at which they may be able to sell. Given the substantial number of the Registered Securities for potential resale by the Selling Securityholders pursuant to this prospectus, the sale of the Registered Securities by the Selling Securityholders, or the perception in the market that the Selling Securityholders may or intend to sell all or a significant portion of the Registered Securities, could increase the volatility of the market price of our Ordinary Shares or result in a significant decline in the public trading price of our Ordinary Shares.</w:t>
      </w:r>
    </w:p>
    <w:p>
      <w:pPr>
        <w:spacing w:after="0" w:line="182"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such are not subject to U.S. proxy rules and will be subject to Exchange Act reporting obligations that, to some extent, are more lenient and less frequent than those of a U.S. domestic public company.</w:t>
      </w:r>
    </w:p>
    <w:p>
      <w:pPr>
        <w:spacing w:after="0" w:line="10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currently report under the Exchange Act as a non-U.S. company with foreign private issuer status. Because we qualify as a foreign private issuer under the Exchange Act, we are exempt from certain provisions of the Exchange Act that are applicable to U.S. domestic public companies, including, among others, (1) the sections of the Exchange Act regulating the solicitation of proxies, consents or authorizations in respect of a security registered under the Exchange Act, (2) the sections of the Exchange Act imposing liability on insiders who profit from trades made in a short period of time, and (3) the rules under the Exchange Act requiring the filing with the SEC of quarterly reports on Form 10-Q containing unaudited financial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As a result of all of the above, you may not have the same protections afforded to shareholders of a company that is not a foreign private issuer.</w:t>
      </w:r>
    </w:p>
    <w:p>
      <w:pPr>
        <w:spacing w:after="0" w:line="185"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p>
    <w:p>
      <w:pPr>
        <w:spacing w:after="0" w:line="107"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securities are listed on the Nasdaq Stock Market. The Nasdaq Stock Market corporate governance listing standards permit a foreign private issuer such as us to follow the corporate governance practices of its home country. Certain corporate governance practices in the Cayman Islands, which is our home country, may differ significantly from the Nasdaq Stock Market corporate governance listing standards.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instance, we are not required to:</w:t>
      </w:r>
    </w:p>
    <w:p>
      <w:pPr>
        <w:spacing w:after="0" w:line="90"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majority of the board be independent;</w:t>
      </w:r>
    </w:p>
    <w:p>
      <w:pPr>
        <w:spacing w:after="0" w:line="7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compensation committee or a nominations and corporate governance committee consisting entirely of independent directors; or</w:t>
      </w:r>
    </w:p>
    <w:p>
      <w:pPr>
        <w:spacing w:after="0" w:line="1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regularly scheduled executive sessions with only independent directors each year.</w:t>
      </w:r>
    </w:p>
    <w:p>
      <w:pPr>
        <w:spacing w:after="0" w:line="14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do not intend to have a majority of the board be independent or hold annual meeting of shareholders. We may also continue to rely on this and other exemptions available to foreign private issuers in the future, and to the extent that we choose to do so, our shareholders may be afforded less protection than they otherwise would have under the Nasdaq Stock Market Rules applicable to U.S. domestic issuers.</w:t>
      </w:r>
    </w:p>
    <w:p>
      <w:pPr>
        <w:spacing w:after="0" w:line="173"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w:t>
      </w:r>
    </w:p>
    <w:p>
      <w:pPr>
        <w:spacing w:after="0" w:line="10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We conduct a majority of our operations through our PRC subsidiaries. Substantially all of our assets are located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outside of the United States. A majority of our officers and directors reside outside the United States and a substantial portion of the assets of those persons are located outside of the United States. As a result, it could be difficult or impossible for you to bring an action against the us or against these individuals outside of the United States in the event that you believe that your rights have been infringed upon under the applicable securities laws or otherwise. Even if you are successful in bringing an action of this kind, the laws of the Cayman Islands and of the PRC could render you unable to enforce a judgment against the relevant assets or the assets of the relevant directors and officers.</w:t>
      </w:r>
    </w:p>
    <w:p>
      <w:pPr>
        <w:spacing w:after="0" w:line="11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our corporate affairs are governed by our Amended and Restated Memorandum and Articles of Association, the Companies Act (As Revised) of the Cayman Islands and the common law of the Cayman Islands. The rights of investors to take action against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may not be as clearly established as they would be under statutes or judicial precedent in some jurisdictions in the United States. In particular, the Cayman Islands has a different body of securities laws than the United States. Some U.S. states, such as Delaware, may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2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lists of shareholders of these companies (save for the memorandum and articles of association, the register of mortgages and charges, and special resolutions of our shareholders). Our directors have discretion under the Amended and Restated Memorandum and Articles of Association to determine whether or not, and under what conditions, our corporate records may be inspected by our shareholders, but we are not obliged to make them available to the shareholders. This may make it more difficult for you to obtain the information needed to establish any facts necessary for a shareholder’s motion or to solicit proxies from other shareholders in connection with a proxy contest.</w:t>
      </w:r>
    </w:p>
    <w:p>
      <w:pPr>
        <w:spacing w:after="0" w:line="32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 See “— 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p>
    <w:p>
      <w:pPr>
        <w:spacing w:after="0" w:line="12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65"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Memorandum and Articles of Association contain certain provisions, including anti-takeover provisions that limit the ability of shareholders to take certain actions and could delay or discourage takeover attempts that shareholders may consider favorable.</w:t>
      </w:r>
    </w:p>
    <w:p>
      <w:pPr>
        <w:spacing w:after="0" w:line="101"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Amended and Restated Memorandum and Articles of Association contain provisions that could have the effect of rendering more difficult, delaying, or preventing an acquisition that shareholders may consider favorable, including transactions in which shareholders might otherwise receive a premium for their shares. These provisions could also limit the price that investors might be willing to pay in the future for the Ordinary Shares, and therefore depress the trading price of the Ordinary Shares. These provisions could also make it difficult for shareholders to take certain actions, including electing directors who are not nominated by us or taking other corporate actions, including effecting changes in our management. These provisions, alone or together, could delay or prevent hostile takeovers and changes in control or changes in our board of directors or management.</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develop or be sustained, which would adversely affect the liquidity and price of our securities.</w:t>
      </w:r>
    </w:p>
    <w:p>
      <w:pPr>
        <w:spacing w:after="0" w:line="7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price of our securities has fluctuated and may continue to fluctuate significantly due to the market’s reaction to our financial performance, results of operations and general market and economic conditions. A substantial amount of our Ordinary Shares are subject to transfer restrictions following the Business Combination. An active trading market for our securities may not be sustained. In addition, the price of our securities may vary due to general economic conditions and forecasts, our general business condition and the release of its financial reports. Additionally, if our securities are delisted from the Nasdaq Stock Market and are quoted on over-the-counter market, the liquidity and price of our securities may be more limited than if our securities were quoted or listed on the Nasdaq Stock Market or another national securities exchange. You may be unable to sell your securities unless a market can be established or sustained.</w:t>
      </w:r>
    </w:p>
    <w:p>
      <w:pPr>
        <w:spacing w:after="0" w:line="378"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our market or competitors, or if they change their recommendations regarding our securities adversely, the price and trading volume of our securities could decline.</w:t>
      </w:r>
    </w:p>
    <w:p>
      <w:pPr>
        <w:spacing w:after="0" w:line="101"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our market or competitors. If any of the analysts who may cover us change their recommendation regarding our securities adversely, or provide more favorable relative recommendations about our competitors, the price of our securities would likely decline. If any analyst who may cover us were to cease their coverage or fail to regularly publish reports on us, we could lose visibility in the financial markets, which could cause the price or trading volume of our securities to decline.</w:t>
      </w:r>
    </w:p>
    <w:p>
      <w:pPr>
        <w:spacing w:after="0" w:line="389"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Additional disclosure requirements to be adopted by and regulatory scrutiny from the SEC in response to risks related to companies with substantial operations in China could increase our compliance costs, subject it to additional disclosure requirements, and/or suspend or terminate our future securities offerings, resulting in difficulties in our capital-raising efforts.</w:t>
      </w:r>
    </w:p>
    <w:p>
      <w:pPr>
        <w:spacing w:after="0" w:line="107"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July 30, 2021, in response to the regulatory developments in China and actions adopted by the PRC government, the Chairman of the SEC issued a statement asking the SEC staff to seek additional disclosures from offshore issuers associated with China -based operating companies before their registration statements will be declared effective. As such, we may be subject to additional disclosure requirements and review that the SEC or other regulatory authorities in the United States may adopt for companies with China-based operations, which could increase our compliance costs, subject us to additional disclosure requirements, and/or suspend or terminate our future securities offerings, resulting in difficulties in our capital-raising efforts.</w:t>
      </w:r>
    </w:p>
    <w:p>
      <w:pPr>
        <w:spacing w:after="0" w:line="37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share capital in connection with financings, acquisitions, investments, our equity incentive plans or otherwise will dilute all other shareholders.</w:t>
      </w:r>
    </w:p>
    <w:p>
      <w:pPr>
        <w:spacing w:after="0" w:line="7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expect to issue additional share capital in the future that will result in dilution to all other shareholders. We also expect to grant equity awards to key employees under the 2024 Equity Incentive Plan. We may also raise capital through equity financings in the future. As part of our business strategy, we may acquire or make investments in companies, solutions or technologies and issue equity securities to pay for any such acquisition or investment. Any such issuances of the additional share capital may cause shareholders to experience significant dilution of their ownership interests and the per share value of the Ordinary Shares to decline.</w:t>
      </w:r>
    </w:p>
    <w:p>
      <w:pPr>
        <w:spacing w:after="0" w:line="37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before we become profitable, and as a result, your ability to achieve a return on your investment in the foreseeable future will depend on appreciation in the price of the Ordinary Shares.</w:t>
      </w:r>
    </w:p>
    <w:p>
      <w:pPr>
        <w:spacing w:after="0" w:line="7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do not intend to pay any cash dividends before we become profitable, which may not occur in the foreseeable future. Any determination to pay dividends in the future will be at the discretion of our board of directors. Accordingly, you may need to rely on sales of the Ordinary Shares after price appreciation, which may never occur, as the only way to realize any future gains on your investment.</w:t>
      </w:r>
    </w:p>
    <w:p>
      <w:pPr>
        <w:spacing w:after="0" w:line="160"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reporting and disclosure requirements applicable to emerging growth companies may make our securities less attractive to investors.</w:t>
      </w:r>
    </w:p>
    <w:p>
      <w:pPr>
        <w:spacing w:after="0" w:line="7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not “emerging growth companies,” including the auditor attestation requirements of Section 404 of the Sarbanes-Oxley Act, disclosure obligations regarding executive compensation in our periodic reports and proxy statements, and the requirements of holding a nonbinding advisory vote on executive compensation and shareholder approval of any golden parachute payments not previously approved.</w:t>
      </w:r>
    </w:p>
    <w:p>
      <w:pPr>
        <w:spacing w:after="0" w:line="11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do not intend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16" w:lineRule="exact"/>
        <w:rPr>
          <w:sz w:val="20"/>
          <w:szCs w:val="20"/>
          <w:color w:val="auto"/>
        </w:rPr>
      </w:pPr>
    </w:p>
    <w:p>
      <w:pPr>
        <w:jc w:val="both"/>
        <w:ind w:left="1260" w:right="419"/>
        <w:spacing w:after="0" w:line="242" w:lineRule="auto"/>
        <w:tabs>
          <w:tab w:leader="none" w:pos="1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consummation of the Business Combination, (ii) in which we have total annual gross revenue of at least US$1.235 billion, or (iii) in which we are deemed to be a large accelerated filer, which means the market value of our common equity that is held by non-affiliates exceeds US$700 million as of the last business day of its most recently completed second fiscal quarter; and (2) the date on which we have issued more than US$1.00 billion in non-convertible debt securities during the prior three-year period.</w:t>
      </w:r>
    </w:p>
    <w:p>
      <w:pPr>
        <w:spacing w:after="0" w:line="327"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Investors may find our securities less attractive, and there may be a less active trading market for our securities, and the price of such securities may be more volatile.</w:t>
      </w:r>
    </w:p>
    <w:p>
      <w:pPr>
        <w:spacing w:after="0" w:line="158" w:lineRule="exact"/>
        <w:rPr>
          <w:sz w:val="20"/>
          <w:szCs w:val="20"/>
          <w:color w:val="auto"/>
        </w:rPr>
      </w:pPr>
    </w:p>
    <w:p>
      <w:pPr>
        <w:jc w:val="both"/>
        <w:ind w:left="1260" w:right="3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will incur increased costs as a result of operating as a public company, and our management will be required to devote substantial time to comply with a public company’s responsibilities and corporate governance practices.</w:t>
      </w:r>
    </w:p>
    <w:p>
      <w:pPr>
        <w:spacing w:after="0" w:line="67"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which we expect to further increase after we are no longer an “emerging growth company.” The Sarbanes-Oxley Act, the Dodd-Frank Wall Street Reform and Consumer Protection Act, the continued listing requirements of Nasdaq,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w:t>
      </w:r>
    </w:p>
    <w:p>
      <w:pPr>
        <w:spacing w:after="0" w:line="32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the past, shareholders of some public companies brought securities class action suits against these companies following periods of instability in the market price of these companies’ securities. Our involvement in a class action suit could divert a significant amount of our management’s attention and other resources from our business, which could harm our results of operations and require us to incur significant expenses to defend the suit.</w:t>
      </w:r>
    </w:p>
    <w:p>
      <w:pPr>
        <w:spacing w:after="0" w:line="10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Any such class action suit, whether or not successful, could harm our reputation and restrict our ability to raise capital in the future. In addition, if a claim is successfully made against us, we may be required to pay significant damages, which could materially adversely affect our financial condition and results of operations.</w:t>
      </w:r>
    </w:p>
    <w:p>
      <w:pPr>
        <w:spacing w:after="0" w:line="396"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characterized as a passive foreign investment company (“PFIC”) for U.S. federal income tax purposes, U.S. Holders may experience adverse U.S. federal income tax consequences.</w:t>
      </w:r>
    </w:p>
    <w:p>
      <w:pPr>
        <w:spacing w:after="0" w:line="91"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 non-U.S. corporation generally will be treated as a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For purposes of making these determinations, a company is generally treated as directly earning a pro rata share of the income (and directly owning a pro rata share of the assets) of any entity in which it is considered to own at least 25%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shares by value. The determination of whether we will be treated as a PFIC for the current taxable year will depend on a number of factors, including the amount of cash held by ExcelFin and Betters Medical and its subsidiaries, among others. Accordingly, there can be no assurances in this regard or any assurances that we will not be treated as a PFIC in the current taxable year or any future taxable year. Moreover, the application of the PFIC rules is subject to uncertainty in several respects, and there can be no assurance that the Internal Revenue Service (the “IRS”) will not take a contrary position or that a court will not sustain such a challenge by the IRS.</w:t>
      </w:r>
    </w:p>
    <w:p>
      <w:pPr>
        <w:spacing w:after="0" w:line="325"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Whether we or any of our subsidiaries are a PFIC for any taxable year is a factual determination that depends on, among other things, the composition of its income and assets, and the market value of its securities. Changes in our composition, the composition of our income or the composition of its assets may cause us to be or become a PFIC for the current or subsequent taxable years. Whether we are treated as a PFIC for U.S. federal income tax purposes is a factual determination that must be made annually at the close of each taxable year and, thus, is subject to significant uncertainty. If we are a PFIC for any taxable year, a U.S. Holder of our securities may be subject to adverse tax consequences and may incur certain information reporting obligations.</w:t>
      </w:r>
    </w:p>
    <w:p>
      <w:pPr>
        <w:spacing w:after="0" w:line="387" w:lineRule="exact"/>
        <w:rPr>
          <w:sz w:val="20"/>
          <w:szCs w:val="20"/>
          <w:color w:val="auto"/>
        </w:rPr>
      </w:pPr>
    </w:p>
    <w:p>
      <w:pPr>
        <w:jc w:val="both"/>
        <w:ind w:left="1260" w:right="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IRS may not agree that we (i) should be treated as a non-U.S. corporation for U.S. federal income tax purposes and (ii) should not be treated as a “surrogate foreign corporation” for U.S. federal income tax purposes.</w:t>
      </w:r>
    </w:p>
    <w:p>
      <w:pPr>
        <w:spacing w:after="0" w:line="67"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For U.S. federal income tax purposes, a corporation generally is considered to be a tax resident in the jurisdiction of its organization or incorporation. Accordingly, under generally applicable U.S. federal income tax rules, we would be classified as a non-U.S. corporation (and, therefore, we would not be a U.S. tax resident) for U.S. federal income tax purposes because we are incorporated under the laws of the Cayman Islands. Section 7874 of the Code provides an exception to this general rule under which a non-U.S. incorporated entity may, in certain circumstances, be treated as a U.S. corporation for U.S. federal income tax purposes. If we were to be treated as a U.S. corporation for U.S. federal income tax purposes, we could be subject to substantial liability for additional U.S. income taxes, and the gross amount of any dividend payments to our non-U.S. holders could be subject to U.S. withholding tax. In addition, even if we are not treated as a U.S. corporation, we may be subject to unfavorable treatment as a “surrogate foreign corporation” in the event that ownership attributable to former ExcelFin stockholders exceeds a threshold amount. If it were determined that we are treated as a surrogate foreign corporation for U.S. federal income tax purposes under Section 7874 of the Code and the Treasury regulations promulgated thereunder, dividends by us would not qualify for “qualified dividend income” treatment, redemptions made by us of our stock would be subject to an excise tax of 1% of the fair market value of such stock under Section 4501 of the Code, and our U.S. affiliates after the completion of the First Merger could be subject to increased taxation under the inversion gain rules and Section 59A of the Code.</w:t>
      </w:r>
    </w:p>
    <w:p>
      <w:pPr>
        <w:spacing w:after="0" w:line="333"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do not currently expect to be treated as a U.S. corporation for U.S. federal income tax purposes or otherwise be subject to unfavorable treatment as a surrogate foreign corporation for U.S. federal income tax purposes. However, the rules for determining ownership under Section 7874 of the Code are complex and unclear. Accordingly, there can be no assurance that the IRS will not take the position that Section 7874 of the Code applied to the First Merger or that a court will not agree with such a position of the IRS in the event of litigation.</w:t>
      </w:r>
    </w:p>
    <w:p>
      <w:pPr>
        <w:spacing w:after="0" w:line="183"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U.S. Holder is treated as owning at least 10% of our ordinary shares, such U.S. Holder may be subject to adverse United States tax consequences.</w:t>
      </w:r>
    </w:p>
    <w:p>
      <w:pPr>
        <w:spacing w:after="0" w:line="9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a U.S. Holder (as defined below) is treated as owning, directly, indirectly or constructively, at least 10% of the value or voting power of our Ordinary Shares, such U.S. Holder may be treated as a “United States shareholder” with respect to each “controlled foreign corporation” in our group, if any. Generally, a non-United States corporation is deemed as a controlled foreign corporation if more than 50% of its stock (by voting power or value) of is owned (directly, indirectly or constructively) by United States shareholders. We will generally be classified as a controlled foreign corporation if more than 50% of our outstanding shares, measured by reference to voting power or value, are owned (directly, indirectly or by attribution) by United States shareholders. Although we are not likely to be a controlled foreign corporation, because our group includes United States subsidiaries, certain of our non-United States subsidiaries will likely be treated 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controlled foreign corporations. We cannot provide any assurances that we will assist our investors in determining whether any of our non-United States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 information that may be necessary to comply with its reporting and tax paying obligations as a result. U.S. Holders should consult their tax advisors regarding the potential application of these rules to their investment in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We will receive proceeds of up to an aggregate of US$132,250,000 from the exercise of the Warrants if all of the Warrants are exercised for cash. We expect to use the net proceeds from the exercise of Warrants for general corporate purposes. There is no assurance that the holders of the Warrants will elect to exercise any or all of such Warrants or that they will exercise any or all of them for cash. The amount of cash we would receive from the exercise of the Warrants will decrease to the extent that Warrants are exercised on a cashless basis.</w:t>
      </w:r>
    </w:p>
    <w:p>
      <w:pPr>
        <w:spacing w:after="0" w:line="336"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any sale of the securities registered hereby by the Selling Securityholders. With respect to the registration of the securities being offered by the Selling Securityholders, the Selling Securityholders will pay any underwriting discounts and commissions incurred by them in disposing of such securities, and fees and expenses of legal counsel representing the Selling Securityholders. We have borne all other costs, fees and expenses incurred in effecting the registration of the Registered Securities, such as registration and filing fees and fees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Baird Medical is a Cayman Islands exempted company and our affairs are governed by our memorandum and articles of association, as amended from time to time, and the Companies Act (As Revised) of the Cayman Islands, which is referred to as the Companies Act (As Revised) below, and the common law of Cayman Islands. The following are summaries of certain material provisions of our Amended and Restated Memorandum and Articles of Association (the “Articles”), attached as an exhibit to prospectus. You are encouraged to read the relevant provisions of the Companies Act (As Revised) and the Articles as they relate to the following summary.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US$50,500 divided into 505,000,000 shares of a nominal or par value of US$0.0001 each, consisting of two share classes as follows:</w:t>
      </w:r>
    </w:p>
    <w:p>
      <w:pPr>
        <w:ind w:left="1500" w:hanging="240"/>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ordinary shares of a nominal or par value of US$0.0001 each (the “Ordinary Shares”) and</w:t>
      </w:r>
    </w:p>
    <w:p>
      <w:pPr>
        <w:spacing w:after="0" w:line="9" w:lineRule="exact"/>
        <w:rPr>
          <w:rFonts w:ascii="Times New Roman" w:cs="Times New Roman" w:eastAsia="Times New Roman" w:hAnsi="Times New Roman"/>
          <w:sz w:val="18"/>
          <w:szCs w:val="18"/>
          <w:color w:val="auto"/>
        </w:rPr>
      </w:pPr>
    </w:p>
    <w:p>
      <w:pPr>
        <w:ind w:left="1260" w:right="419"/>
        <w:spacing w:after="0" w:line="260" w:lineRule="auto"/>
        <w:tabs>
          <w:tab w:leader="none" w:pos="15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series A convertible preferred shares of a nominal or par value of US$0.0001 each (the “Series A Preferred Shares”).</w:t>
      </w:r>
    </w:p>
    <w:p>
      <w:pPr>
        <w:spacing w:after="0" w:line="10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had 42,208,763 Ordinary Shares and 290,000 Series A Preferred Shares issued and outstanding.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All of our issued Ordinary Shares are fully paid and non-assessable. The Ordinary Shares are issued in registered form, and are issued when registered in our register of members. Our shareholders who are non-residents of the Cayman Islands may freely hold and vote their Ordinary Shares.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holders of Ordinary Shares are entitled to such dividends as may be declared by our board of directors. Under Cayman Islands law, dividends may be declared and paid out of funds legally available therefor, namely out of profit or share premium, provided that in no circumstances may we pay a dividend out of share premium if this would result in us being unable to pay our debts as they fall due in the ordinary course of business.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will be entered therein:</w:t>
      </w:r>
    </w:p>
    <w:p>
      <w:pPr>
        <w:spacing w:after="0" w:line="117" w:lineRule="exact"/>
        <w:rPr>
          <w:sz w:val="20"/>
          <w:szCs w:val="20"/>
          <w:color w:val="auto"/>
        </w:rPr>
      </w:pPr>
    </w:p>
    <w:p>
      <w:pPr>
        <w:jc w:val="both"/>
        <w:ind w:left="1800" w:right="41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with a statement of the shares held by each member, and the statement shall (i) distinguish each share by its number (so long as the share has a number);</w:t>
      </w:r>
    </w:p>
    <w:p>
      <w:pPr>
        <w:ind w:left="2120" w:hanging="320"/>
        <w:spacing w:after="0"/>
        <w:tabs>
          <w:tab w:leader="none" w:pos="21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the amount paid or agreed to be considered as paid on the shares of each member;</w:t>
      </w:r>
    </w:p>
    <w:p>
      <w:pPr>
        <w:spacing w:after="0" w:line="9" w:lineRule="exact"/>
        <w:rPr>
          <w:rFonts w:ascii="Times New Roman" w:cs="Times New Roman" w:eastAsia="Times New Roman" w:hAnsi="Times New Roman"/>
          <w:sz w:val="18"/>
          <w:szCs w:val="18"/>
          <w:color w:val="auto"/>
        </w:rPr>
      </w:pPr>
    </w:p>
    <w:p>
      <w:pPr>
        <w:jc w:val="both"/>
        <w:ind w:left="1800" w:right="419"/>
        <w:spacing w:after="0" w:line="255" w:lineRule="auto"/>
        <w:tabs>
          <w:tab w:leader="none" w:pos="216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the number and category of shares held by each member; (iv) confirm whether each relevant category of shares held by a member carries voting rights under the Articles, and if so, whether such voting rights are conditional;</w:t>
      </w:r>
    </w:p>
    <w:p>
      <w:pPr>
        <w:spacing w:after="0" w:line="7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15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Under Cayman Islands law, our register of members is prima facie evidence of any matters by the Companies Act (As Revised) directed or authorized to be inserted therein.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Each holder of Ordinary Share shall be entitled to one vote per Ordinary Share. Each holder of Series A Preferred Shares shall be entitled to no voting right.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Voting at any meeting of our shareholders is by show of hands unless a poll is demanded. A poll may be demanded by:</w:t>
      </w:r>
    </w:p>
    <w:p>
      <w:pPr>
        <w:spacing w:after="0" w:line="40"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such meeting;</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three shareholders present in person or by proxy or (in the case of a shareholder being a corporation) by its duly authorized representative for the time being entitled to vote at the meeting;</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shareholder(s) present in person or by proxy or (in the case of a shareholder being a corporation) by its duly authorized representative representing not less than one-tenth of the total voting rights of all shareholders having the right to vote at the meeting; and</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shareholder(s) present in person or by proxy or (in the case of a shareholder being a corporation) by its duly authorized representative and holding our shares conferring a right to vote at the meeting being shares on which an aggregate sum has been paid up equal to not less than one-tenth of the total sum paid up on all shares conferring that right.</w:t>
      </w:r>
    </w:p>
    <w:p>
      <w:pPr>
        <w:spacing w:after="0" w:line="11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An ordinary resolution to be passed at a meeting by our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making changes to the Articles, a reduction of share capital and the winding up of Baird Medical, our shareholders may, among other things, divide or combine their shares by ordinary resolution.</w:t>
      </w:r>
    </w:p>
    <w:p>
      <w:pPr>
        <w:spacing w:after="0" w:line="325"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Act (As Revised) to call shareholders’ annual general meetings. The Articles provide that we shall, if required by the Companies Act (As Revised), in each year hold a general meeting as our annual general meeting, and shall specify the meeting as such in the notices calling it. An annual general meeting shall be held at such time and place as may be determined by our directors in accordance with the rules of Nasdaq, unless Nasdaq does not require the holding of an annual general meeting. General meetings, including annual general meetings, may be held at such times and in any location in the world as may be determined by our board of directors. A general meeting or any class meeting may also be held by means of such telephone, electronic or other communication facilities as to permit all persons participating in the meeting to communicate with each other, and participation in such a meeting constitutes presence at such meeting.</w:t>
      </w:r>
    </w:p>
    <w:p>
      <w:pPr>
        <w:spacing w:after="0" w:line="32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Shareholders’ general meetings may be convened by the chairperson of the board of directors or by a majority of our board of directors. Advance notice of not more than sixty nor less than ten clear days is required for the convening of an annual general shareholders’ meeting (if any) and any other general meeting of shareholders. A quorum required for any general meeting of shareholders consists of two shareholders entitled to vote and present in person or by proxy or (in the case of a shareholder being a corporation) by its duly authorized representative representing not less than one-third in nominal value of our total issued voting shares throughout the meeting.</w:t>
      </w:r>
    </w:p>
    <w:p>
      <w:pPr>
        <w:spacing w:after="0" w:line="11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Companies Act (As Revised) does not provide shareholders with any right to requisition a general meeting or to put any proposal before a general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Subject to the restrictions as set out in the Articles, our shareholders may transfer all or any of his or her Ordinary Shares by an instrument of transfer in the usual or common form or in a form prescribed by Nasdaq, the SEC and/or any competent regulatory authority or any other form approved by our board of directors. Notwithstanding the foregoing, Ordinary Shares may also be transferred in accordance with the applicable rules and regulations of Nasdaq, the SEC and/or any competent regulatory authority.</w:t>
      </w:r>
    </w:p>
    <w:p>
      <w:pPr>
        <w:spacing w:after="0" w:line="1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Our board of directors may decline to register any transfer of any Ordinary Share unless:</w:t>
      </w:r>
    </w:p>
    <w:p>
      <w:pPr>
        <w:spacing w:after="0" w:line="117" w:lineRule="exact"/>
        <w:rPr>
          <w:sz w:val="20"/>
          <w:szCs w:val="20"/>
          <w:color w:val="auto"/>
        </w:rPr>
      </w:pPr>
    </w:p>
    <w:p>
      <w:pPr>
        <w:jc w:val="both"/>
        <w:ind w:left="1800" w:right="41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(if any)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Shares is to be transferred does not exceed four;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9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the shares in question were issued in conjunction with rights, options and warrants issued pursuant to the Articles on terms that one cannot be transferred without the other, our board of directors shall refuse to register the transfer of any such shares without evidence satisfactory to them of the like transfer of such right, option or warrant.</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months after the date on which the instrument of transfer was lodged, send to each of the transferor and the transferee notice of such refusal.</w:t>
      </w:r>
    </w:p>
    <w:p>
      <w:pPr>
        <w:spacing w:after="0" w:line="95"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in accordance with the rules of Nasdaq, the SEC and/or any other competent regulatory authority be suspended and the register of members closed for transfer at such times and for such periods as our board of directors may from time to time determine; provided, however, that the registration of transfers shall not be suspended nor the register closed for transfer for more than 40 days in any year as the board may determine. The period of forty (40) days may be extended for a further period or periods not exceeding forty (40) days in respect of any year if approved by the shareholders by ordinary resolution.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a winding up of Baird Medical, if the assets available for distribution among our shareholders shall be more than sufficient to repay the whole of the share capital at the commencement of the winding up, the surplus will be distributed among our shareholders in proportion to the par value of the shares held by them at the commencement of the winding up, subject to a deduction from those shares in respect of which there are monies due, of all monies payable to us for unpaid calls or otherwise. If our assets available for distribution are insufficient to repay all of the paid-up capital, the assets will be distributed so that, as nearly as may be, the losses are borne by our shareholders in proportion to the par value of the shares held by them.</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Ordinary Shares in a notice served to such shareholders at least 14 days prior to the specified time of payment. The shares that have been called upon and remain unpaid are subject to forfeiture.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Ordinary Shares</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may issue shares on terms that such shares are subject to redemption, at our option or at the option of the holders, on such terms and in such manner as may be determined, before the issue of such shares, by our board of directors. We may also repurchase any of our shares provided that the manner and terms of such purchase have been agreed between the board of directors and the relevant shareholder or are otherwise authorized by the Articles. Under the Companies Act (As Revised), the redemption or repurchase of any share may be paid out of our profits, share premium or out of the proceeds of a fresh issue of shares made for the purpose of such redemption or repurchase, or out of capital if we can, immediately following such payment, pay our debts as they fall due in the ordinary course of business. In addition, under the Companies Act (As Revised) no such share may be redeemed or repurchased (a) unless it is fully paid up,</w:t>
      </w:r>
    </w:p>
    <w:p>
      <w:pPr>
        <w:spacing w:after="0" w:line="6" w:lineRule="exact"/>
        <w:rPr>
          <w:sz w:val="20"/>
          <w:szCs w:val="20"/>
          <w:color w:val="auto"/>
        </w:rPr>
      </w:pPr>
    </w:p>
    <w:p>
      <w:pPr>
        <w:jc w:val="both"/>
        <w:ind w:left="1260" w:right="419"/>
        <w:spacing w:after="0" w:line="260" w:lineRule="auto"/>
        <w:tabs>
          <w:tab w:leader="none" w:pos="15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redemption or repurchase would result in there being no shares outstanding, or (c) if the company has commenced liquidation. In addition, we may accept the surrender of any fully paid share for no consideration.</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Whenever our capital is divided into different classes the rights attached to any such class may, subject to any rights or restrictions for the time being attached to any class, only be varied with the sanction of a resolution passed by a majority of two-thirds of the votes cast at a separate meeting of the holders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 xml:space="preserve">shares of that class. The necessary quorum (whether at a separate general meeting or at its adjourned meeting) shall be a person or persons or (in the case of a shareholder being a corporation) its duly authorized representative together holding or representing by proxy not less than one-third in nominal value or par value of the issued shares of that class (but so that if at any adjourned meeting of such holders a quorum as above defined is not present, those shareholders who are present shall form a quorum (whatever the number of shares held by them)).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such existing class of shares.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the restrictions as set out in the Articles, we may from time to time by ordinary resolution:</w:t>
      </w:r>
    </w:p>
    <w:p>
      <w:pPr>
        <w:spacing w:after="0" w:line="117" w:lineRule="exact"/>
        <w:rPr>
          <w:sz w:val="20"/>
          <w:szCs w:val="20"/>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such sum, to be divided into shares of such classes and amount, as the resolution shall prescribe;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in general meeting, as the directors may determine;</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that is fixed by our memorandum of association; and</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cancelled.</w:t>
      </w:r>
    </w:p>
    <w:p>
      <w:pPr>
        <w:spacing w:after="0" w:line="95"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Subject to the Companies Act (As Revised) and confirmation by the Grand Court of the Cayman Islands on an application by us for an order confirming such reduction, we may by special resolution reduce our share capital, any capital redemption reserve or other undistributable reserves in any manner authorized by law.</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Subject to the restrictions as set out in the Articles, the Articles authorize our board of directors to issue additional ordinary shares from time to time as our board of directors shall determine, to the extent of available authorized but unissued shares.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Appointment and Removal of Directors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Under the Articles, our board of directors shall initially consist of up to seven directors, who shall be appointed to the board as follows:</w:t>
      </w:r>
    </w:p>
    <w:p>
      <w:pPr>
        <w:spacing w:after="0" w:line="81" w:lineRule="exact"/>
        <w:rPr>
          <w:sz w:val="20"/>
          <w:szCs w:val="20"/>
          <w:color w:val="auto"/>
        </w:rPr>
      </w:pPr>
    </w:p>
    <w:p>
      <w:pPr>
        <w:jc w:val="both"/>
        <w:ind w:left="1620" w:right="419" w:firstLine="360"/>
        <w:spacing w:after="0" w:line="259" w:lineRule="auto"/>
        <w:tabs>
          <w:tab w:leader="none" w:pos="23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which (the “Sponsor Director”) shall be appointed by the Sponsor by written notice to our company (without further resolutions of the board or the shareholders), provided, that the right of Sponsor to appoint the Sponsor Director shall terminate on the date Sponsor ceases to beneficially own at least 25% of the shares held by Sponsor as of the closing date of the Business Combination Agreement.</w:t>
      </w:r>
    </w:p>
    <w:p>
      <w:pPr>
        <w:spacing w:after="0" w:line="335" w:lineRule="exact"/>
        <w:rPr>
          <w:rFonts w:ascii="Times New Roman" w:cs="Times New Roman" w:eastAsia="Times New Roman" w:hAnsi="Times New Roman"/>
          <w:sz w:val="18"/>
          <w:szCs w:val="18"/>
          <w:color w:val="auto"/>
        </w:rPr>
      </w:pPr>
    </w:p>
    <w:p>
      <w:pPr>
        <w:jc w:val="both"/>
        <w:ind w:left="1620" w:right="419" w:firstLine="360"/>
        <w:spacing w:after="0" w:line="256" w:lineRule="auto"/>
        <w:tabs>
          <w:tab w:leader="none" w:pos="23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which (collectively, the “Betters Directors”) shall be appointed by Betters Medical (or its affiliates) by written notice to our company (without further resolutions of the board or the shareholders), provided, that the number of Betters Directors that Betters Medical shall be entitled to appoint shall increase or decrease, as applicable, in proportion to the number of shares beneficially owned by Betters Medical (or its affiliates) divided by the total number of shares issued and outstanding, rounded down to the nearest whole number of directors;</w:t>
      </w:r>
    </w:p>
    <w:p>
      <w:pPr>
        <w:spacing w:after="0" w:line="11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which shall be nominated and elected in accordance with the terms of the Articles.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Subject to the above, we may by ordinary resolution of shareholders elect any person to be a director either to fill a casual vacancy or as an addition to the existing board; and our directors shall have the power from time to time and at any time to appoint any person as a director to fill a casual vacancy on the board or as an addition to the existing board subject to compliance with director nomination procedures required under the rules and regulations of Nasdaq, the SEC and/or any other competent regulatory authority as long as shares are listed on Nasdaq, unless the board resolves to follow any available exceptions or exemptions.</w:t>
      </w:r>
    </w:p>
    <w:p>
      <w:pPr>
        <w:spacing w:after="0" w:line="11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Under the Articles, a director (other than the Sponsor Director and any of the Betters Directors) may be removed by way of an ordinary resolution of shareholders at any time before the expiration of his period of office notwithstanding anything in the Articles or in any agreement between our company and such director. Notwithstanding the foregoing, the Sponsor Director may be removed by the Sponsor and the Betters Directors may be removed by Betters Medical (or its affiliates), in each case, by written notice to our company. A vacancy on the board created by the removal of a director pursuant to the above may be filled by the election or appointment by ordinary resolution of shareholders at the meeting at which such director is removed or by the affirmative vote of a simple majority of the remaining directors present and voting at a board meeting provided, that in the case of the removal of the Sponsor Director or any of the Betters Directors, the Sponsor and/or Betters Medical (or its affiliates) shall solely be entitled to appoint another person as the Sponsor Director or the Betters Director.</w:t>
      </w:r>
    </w:p>
    <w:p>
      <w:pPr>
        <w:spacing w:after="0" w:line="121"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Under the Articles., a director’s office shall be vacated if the director (i) becomes bankrupt or has a receiving order made against him or suspends payment or compounds with his creditors; (ii) is found to be or becomes of unsound mind or dies; (iii) resigns his office by notice in writing to us; (iv) 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the Articles, the number of directors to be appointed to the board may only be increased or decreased upon the mutual written agreement of Betters Medical and the Sponsor; provided, that no reduction in the authorized number of directors shall have the effect of removing any director before that director’s term of office expires.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Holders of Ordinary Shares have no general right under Cayman Islands law to inspect or obtain copies of a list of our shareholders or our corporate records. However, the Articles provide our shareholders with the right to inspect our register of shareholders without charge and to receive our annual audited financial statements. See “Where You Can Find Additional Information.”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Some provisions of the Articles may discourage, delay or prevent a change of control in our company or management that shareholders may consider favorable, including provisions that:</w:t>
      </w:r>
    </w:p>
    <w:p>
      <w:pPr>
        <w:spacing w:after="0" w:line="95" w:lineRule="exact"/>
        <w:rPr>
          <w:sz w:val="20"/>
          <w:szCs w:val="20"/>
          <w:color w:val="auto"/>
        </w:rPr>
      </w:pPr>
    </w:p>
    <w:p>
      <w:pPr>
        <w:jc w:val="both"/>
        <w:ind w:left="1980" w:right="419" w:hanging="360"/>
        <w:spacing w:after="0" w:line="266"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provide for the Sponsor’s and Betters Medical’s right to appoint and/or remove the Sponsor Director and the Betters Directors (as the case may be) without further approval from the shareholders; and</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w:t>
      </w:r>
    </w:p>
    <w:p>
      <w:pPr>
        <w:spacing w:after="0" w:line="14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Articles and Cayman Islands law also require a special resolution to amend the Articles. Such requirement may prevent our shareholders from effecting a change of our management and/or removing provisions in our constitutional documents that may have an anti-takeover effect.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Following the consummation of the Business Combination, each warrants of ExcelFin outstanding immediately prior to the Effective Time ceased to be a warrant with respect to ExcelFin Common Stock and was assumed by us and converted into an Assumed Public Warrant entitling the holder thereof to purchase</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one Ordinary Share. Each Assumed Public Warrant otherwise continues to have and be subject to substantially the same terms and conditions as were applicable to such ExcelFin Warrant immediately prior to the consummation of the Business Combination (including any repurchase rights and cashless exercise provisions), as set forth below.</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Public Stockholders’ Warrants</w:t>
      </w:r>
    </w:p>
    <w:p>
      <w:pPr>
        <w:spacing w:after="0" w:line="14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our Ordinary Share at a price of US$11.50 per share, subject to adjustment as discussed below. Pursuant to the public warrant agreement, a public warrant holder may exercise public warrants only for a whole number of Ordinary Shares. This means only a whole public warrant may be exercised at a given time by a public warrant holder. No fractional public warrants will be issued upon separation of the units and only whole public warrants will trade. The public warrants will expire five years after the completion of the Business Combination, at 5:00 p.m., New York City time, or earlier upon redemption or liquidation.</w:t>
      </w:r>
    </w:p>
    <w:p>
      <w:pPr>
        <w:spacing w:after="0" w:line="11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public warrant and will have no obligation to settle such public warrant exercise unless a registration statement under the Securities Act covering the issuance of the Ordinary Shares issuable upon exercise of the public warrants is then effective and a current prospectus relating to those Ordinary Shares is available,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Ordinary Share underlying such unit.</w:t>
      </w:r>
    </w:p>
    <w:p>
      <w:pPr>
        <w:spacing w:after="0" w:line="12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have agreed that as soon as practicable, but in no event later than 20 business days after the closing of the Business Combination, we will use our reasonable best efforts to file with the SEC, and within 60 business days following the Business Combination to have declared effective, a registration statement covering the issuance of the shares of Ordinary Shares issuable upon exercise of the public warrants and to maintain a current prospectus relating to those Ordinary Shares until the public warrants expire or are redeemed. Notwithstanding the above, if our Ordinary Shares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w:t>
      </w:r>
    </w:p>
    <w:p>
      <w:pPr>
        <w:spacing w:after="0" w:line="6" w:lineRule="exact"/>
        <w:rPr>
          <w:sz w:val="20"/>
          <w:szCs w:val="20"/>
          <w:color w:val="auto"/>
        </w:rPr>
      </w:pPr>
    </w:p>
    <w:p>
      <w:pPr>
        <w:jc w:val="both"/>
        <w:ind w:left="1260" w:right="419"/>
        <w:spacing w:after="0" w:line="255" w:lineRule="auto"/>
        <w:tabs>
          <w:tab w:leader="none" w:pos="15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11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have agreed that any action, proceeding or claim against us arising out of or relating in any way to the public warrant agreement will be brought and enforced in the courts of the City of New York, County of New York, State of New York, the United States District Court for the Southern District of New York or the federal district courts of the United States, and we irrevocably submit to such jurisdiction, which jurisdiction will be the exclusive forum for any such action, proceeding or claim. However, the enforceability of similar exclusive forum provisions (including exclusive forum provisions for actions, suits or proceedings asserting a cause of action arising under the Securities Act or the Exchange Act) in other companies’ organizational documents has been challenged in legal proceeds, and there is uncertainty as to whether courts would enforce the exclusive forum provisions in our public warrant agreement. Notwithstanding the foregoing, these provisions of the public warrant agreement will not apply to suits brought to enforce any liability or duty created by the Securities Act, Exchange Act or any other claim for which the federal district courts of the United States of America shall be the sole and exclusive forum. Any person or entity purchasing or otherwise acquiring any interest in any of our warrants shall be deemed to have notice of and to have consented to the forum provisions in our warrant agreements. Additionally, our stockholders cannot waive compliance with the federal securities laws and the rules and regulations thereunder.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Once the public warrants become exercisable, we may call the public warrants for redemption:</w:t>
      </w:r>
    </w:p>
    <w:p>
      <w:pPr>
        <w:spacing w:after="0" w:line="117"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US$0.01 per public warrant;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or the 30-day redemption period, to each public warrant holder; and</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Ordinary Shares has been at least US$18.00 per share (as adjusted for stock splits, stock dividends, reorganizations, recapitalizations and the like) for any ten (10) trading days within the twenty (20) trading-day period ending on the third (3rd) trading day prior to the date on which the notice of redemption is given to the public warrant holders.</w:t>
      </w:r>
    </w:p>
    <w:p>
      <w:pPr>
        <w:spacing w:after="0" w:line="11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However, the price of the Ordinary Shares may fall below the US$18.00 redemption trigger price as well as the US$11.50 public warrant exercise price after the redemption notice is issued.</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14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all holders that wish to exercise public warrants to do so on a “cashless basis.” In determining whether to require all holders to exercise their warrants on a “cashless basis,” our management will consider, among other factors, our cash position, the number of public warrants that are outstanding and the dilutive effect on our shareholders of issuing the maximum number of Ordinary Shares issuable upon the exercise of our warrants. In such event, each holder would pay the exercise price by surrendering the public warrants for that number of Ordinary Shares equal to the quotient obtained by dividing (x) the product of the number of Ordinary Shares underlying the public warrants, multiplied by the excess of the “fair market value”(as defined below) of the Ordinary Shares over the exercise price of the public warrants by (y) the “fair market value.” For purposes of this paragraph, the “fair market value” means the volume-weighted last reported price of the Ordinary Shares as reported for the ten (10) trading days ending on the third (3rd) trading day prior to the date on which the notice of redemption is sent to the holder of the public warrants or its securities broker or intermediary, pursuant to the public warrant agreement. If our management takes advantage of this option, the notice of redemption will contain the information necessary to calculate the number of Ordinary Shares to be received upon exercise of the public warrants, including the “fair market value” in such case. Requiring a cashless exercise in this manner will reduce the number of shares to be issued and thereby lessen the dilutive effect of a public warrant redemption.</w:t>
      </w:r>
    </w:p>
    <w:p>
      <w:pPr>
        <w:spacing w:after="0" w:line="333"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outstanding immediately after giving effect to such exercise.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the number of outstanding Ordinary Shares is increased by a stock dividend payable in the Ordinary Shares, or by a split-up of shares of Ordinary Shares or other similar event, then, on the effective date of such stock dividend, split-up or similar event, the number of Ordinary Shares issuable on exercise of each public warrant will be increased in proportion to such increase in the outstanding Ordinary Shares. A rights offering to holders of Ordinary Shares entitling holders to purchase Ordinary Shares at a price less than the “historical fair market value” (as​ defined below) will be deemed a stock dividend of a number of Ordinary Shares equal to the product of (1) the number of Ordinary Shares actually sold in such rights offering (or issuable under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any other equity securities sold in such rights offering that are convertible into or exercisable for Ordinary Shares) multiplied by (2) one minus the quotient of (x) the price per share of Ordinary Shares paid in such rights offering divided by (y) the historical fair market value. For these purposes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For purposes of this paragraph, “historical fair market value” means the volume-weighted average price of the Ordinary Shares during the ten trading day period ending on the trading day prior to the first date on which the Ordinary Shares trade on the applicable exchange or in the applicable market, regular way, without the right to receive such rights.</w:t>
      </w:r>
    </w:p>
    <w:p>
      <w:pPr>
        <w:spacing w:after="0" w:line="11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no shares of Ordinary Shares shall be issued at less than their par value.</w:t>
      </w:r>
    </w:p>
    <w:p>
      <w:pPr>
        <w:spacing w:after="0" w:line="95"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Ordinary Shares on account of such shares of Ordinary Shares (or other shares of our capital stock into which the public warrants are convertible), other than (a) as described above, (b) certain ordinary cash dividends, then the exercise price of a public warrant will be decreased, effective immediately after the effective date of such event, by the amount of cash and/or the fair market value of any securities or other assets paid on each share of Ordinary Shares in respect of such event.</w:t>
      </w:r>
    </w:p>
    <w:p>
      <w:pPr>
        <w:spacing w:after="0" w:line="325"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the number of outstanding shares of our Ordinary Shares is decreased by a consolidation, combination, reverse stock split or reclassification of shares of Ordinary Shares or other similar event, then, on the effective date of such consolidation, combination, reverse stock split, reclassification or similar event, the number of Ordinary Shares issuable on exercise of each public warrant will be decreased in proportion to such decrease in outstanding Ordinary Shares.</w:t>
      </w:r>
    </w:p>
    <w:p>
      <w:pPr>
        <w:spacing w:after="0" w:line="96"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Ordinary Shares purchasable upon the exercise of the public warrants immediately prior to such adjustment and (y) the denominator of which will be the number of Ordinary Shares so purchasable immediately thereafter.</w:t>
      </w:r>
    </w:p>
    <w:p>
      <w:pPr>
        <w:spacing w:after="0" w:line="325"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if (x) we issue additional Ordinary Shares or equity -linked securities for capital raising purposes in connection with the closing of the Business Combination at a newly issued price of less than US$9.20 per Ordinary Share (with such newly issued price to be determined in good faith by our board of directors), (y) the aggregate gross proceeds from such issuances represent more than 60% of the total equity proceeds, and interest thereon, available for the funding of the Business Combination on the date of the consummation of the Business Combination (net of redemptions), and (z) the volume weighted average trading price of Ordinary Shares during the 20 trading day period starting on the trading day prior to the day on which we consummate the Business Combination is below US$9.20 per share, then the exercise price of the public warrants will be adjusted (to the nearest cent) to be equal to 115% of the greater of the volume weighted average trading price of Ordinary Shares during the 20 trading day period starting on the trading day prior to the day on which we consummate the Business Combination and the newly issued price and the US$18.00 per share redemption trigger price described under “Redemption of public warrants” above will be adjusted (to the nearest cent) to be equal to 180% of the greater of the volume weighted average trading price of Ordinary Shares during the 20 trading day period starting on the trading day prior to the day on which we consummate the Business Combination and the newly issued price.</w:t>
      </w:r>
    </w:p>
    <w:p>
      <w:pPr>
        <w:spacing w:after="0" w:line="123"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outstanding Ordinary Shares),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Ordinary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color w:val="auto"/>
        </w:rPr>
        <w:t>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Ordinary Shares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public warrant exercise price will be reduced as specified in the public warrant agreement based on the per share consideration minus Black-Scholes Warrant Value (as defined in the public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 in order to determine and realize the option value component of the warrant. This formula is to compensate the public warrant holder for the loss of the option value portion of the public warrant due to the requirement that the public warrant holder exercise the public warrant within 30 days of the event. The Black-Scholes model is an accepted pricing model for estimating fair market value where no quoted market price for an instrument is available.</w:t>
      </w:r>
    </w:p>
    <w:p>
      <w:pPr>
        <w:spacing w:after="0" w:line="12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public warrants will be issued in registered form under the public warrant agreement between American Stock Transfer &amp; Trust Company, LLC, as warrant agent, and us. You should review a copy of the public warrant agreement, which will be filed as an exhibit to the registration statement of which this prospectus is a part, for a description of the terms and conditions applicable to the public warrants. The public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other modification or amendment, including any modification or amendment to increase the exercise price of the public warrants or shorten the exercise period.</w:t>
      </w:r>
    </w:p>
    <w:p>
      <w:pPr>
        <w:spacing w:after="0" w:line="33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the rights or privileges of holders of Ordinary Shares and any voting rights until they exercise their public warrants and receive the Ordinary Shares.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transfer agent for our Ordinary Shares and warrant agent for our warrants is American Stock Transfer &amp; Trust Company, LLC. We have agreed to indemnify American Stock Transfer &amp; Trust Company, LLC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4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Companies Act (As Revised) is derived, to a large extent, from the older Companies Acts of England but does not follow recent English statutory enactments and, accordingly, there are significant differences between the Companies Act (As Revised) and the current Companies Act of England. In addition, the Companies Act (As Revised) differs from laws applicable to U.S. corporations and their shareholders. Set forth below is a summary of certain significant differences between the provisions of the Companies Act (As Revised) applicable to us and the laws applicable to companies incorporated in the United States and their shareholders.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ind w:left="1260"/>
        <w:spacing w:after="0" w:line="205" w:lineRule="auto"/>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b w:val="1"/>
          <w:bCs w:val="1"/>
          <w:i w:val="1"/>
          <w:iCs w:val="1"/>
          <w:color w:val="auto"/>
        </w:rPr>
        <w:t>Mergers and Similar</w:t>
      </w:r>
    </w:p>
    <w:p>
      <w:pPr>
        <w:ind w:left="1460"/>
        <w:spacing w:after="0"/>
        <w:rPr>
          <w:sz w:val="20"/>
          <w:szCs w:val="20"/>
          <w:color w:val="auto"/>
        </w:rPr>
      </w:pPr>
      <w:r>
        <w:rPr>
          <w:rFonts w:ascii="Times New Roman" w:cs="Times New Roman" w:eastAsia="Times New Roman" w:hAnsi="Times New Roman"/>
          <w:sz w:val="18"/>
          <w:szCs w:val="18"/>
          <w:b w:val="1"/>
          <w:bCs w:val="1"/>
          <w:i w:val="1"/>
          <w:iCs w:val="1"/>
          <w:color w:val="auto"/>
        </w:rPr>
        <w:t>Arrangements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8"/>
        </w:trPr>
        <w:tc>
          <w:tcPr>
            <w:tcW w:w="5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The</w:t>
            </w:r>
          </w:p>
        </w:tc>
        <w:tc>
          <w:tcPr>
            <w:tcW w:w="11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Companies</w:t>
            </w:r>
          </w:p>
        </w:tc>
        <w:tc>
          <w:tcPr>
            <w:tcW w:w="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Act</w:t>
            </w:r>
          </w:p>
        </w:tc>
        <w:tc>
          <w:tcPr>
            <w:tcW w:w="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Revised)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Under</w:t>
            </w:r>
          </w:p>
        </w:tc>
        <w:tc>
          <w:tcPr>
            <w:tcW w:w="8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6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law,</w:t>
            </w: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certain</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permits</w:t>
            </w:r>
          </w:p>
        </w:tc>
        <w:tc>
          <w:tcPr>
            <w:tcW w:w="80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mergers</w:t>
            </w:r>
          </w:p>
        </w:tc>
        <w:tc>
          <w:tcPr>
            <w:tcW w:w="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and</w:t>
            </w:r>
          </w:p>
        </w:tc>
        <w:tc>
          <w:tcPr>
            <w:tcW w:w="12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consolidations</w:t>
            </w:r>
          </w:p>
        </w:tc>
        <w:tc>
          <w:tcPr>
            <w:tcW w:w="220" w:type="dxa"/>
            <w:vAlign w:val="bottom"/>
          </w:tcPr>
          <w:p>
            <w:pPr>
              <w:spacing w:after="0"/>
              <w:rPr>
                <w:sz w:val="17"/>
                <w:szCs w:val="17"/>
                <w:color w:val="auto"/>
              </w:rPr>
            </w:pPr>
          </w:p>
        </w:tc>
        <w:tc>
          <w:tcPr>
            <w:tcW w:w="31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auto"/>
              </w:rPr>
              <w:t>exceptions, a merger, a consolidation, or</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between Cayman Islands companies and</w:t>
            </w:r>
          </w:p>
        </w:tc>
        <w:tc>
          <w:tcPr>
            <w:tcW w:w="220" w:type="dxa"/>
            <w:vAlign w:val="bottom"/>
          </w:tcPr>
          <w:p>
            <w:pPr>
              <w:spacing w:after="0"/>
              <w:rPr>
                <w:sz w:val="17"/>
                <w:szCs w:val="17"/>
                <w:color w:val="auto"/>
              </w:rPr>
            </w:pPr>
          </w:p>
        </w:tc>
        <w:tc>
          <w:tcPr>
            <w:tcW w:w="31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auto"/>
              </w:rPr>
              <w:t>a  sale,  lease  or  exchange  of  all  or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between Cayman Islands companies and</w:t>
            </w:r>
          </w:p>
        </w:tc>
        <w:tc>
          <w:tcPr>
            <w:tcW w:w="220" w:type="dxa"/>
            <w:vAlign w:val="bottom"/>
          </w:tcPr>
          <w:p>
            <w:pPr>
              <w:spacing w:after="0"/>
              <w:rPr>
                <w:sz w:val="18"/>
                <w:szCs w:val="18"/>
                <w:color w:val="auto"/>
              </w:rPr>
            </w:pPr>
          </w:p>
        </w:tc>
        <w:tc>
          <w:tcPr>
            <w:tcW w:w="3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substantially  all  the  assets  of  a</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non-Cayman  Islands  companies.  For</w:t>
            </w:r>
          </w:p>
        </w:tc>
        <w:tc>
          <w:tcPr>
            <w:tcW w:w="220" w:type="dxa"/>
            <w:vAlign w:val="bottom"/>
          </w:tcPr>
          <w:p>
            <w:pPr>
              <w:spacing w:after="0"/>
              <w:rPr>
                <w:sz w:val="17"/>
                <w:szCs w:val="17"/>
                <w:color w:val="auto"/>
              </w:rPr>
            </w:pPr>
          </w:p>
        </w:tc>
        <w:tc>
          <w:tcPr>
            <w:tcW w:w="31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auto"/>
              </w:rPr>
              <w:t>corporation must be approved by the</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these purposes, (1) “merger” means the</w:t>
            </w:r>
          </w:p>
        </w:tc>
        <w:tc>
          <w:tcPr>
            <w:tcW w:w="220" w:type="dxa"/>
            <w:vAlign w:val="bottom"/>
          </w:tcPr>
          <w:p>
            <w:pPr>
              <w:spacing w:after="0"/>
              <w:rPr>
                <w:sz w:val="17"/>
                <w:szCs w:val="17"/>
                <w:color w:val="auto"/>
              </w:rPr>
            </w:pPr>
          </w:p>
        </w:tc>
        <w:tc>
          <w:tcPr>
            <w:tcW w:w="31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auto"/>
              </w:rPr>
              <w:t>board of directors and a majority of the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merging  of  two  or  more  constituent</w:t>
            </w:r>
          </w:p>
        </w:tc>
        <w:tc>
          <w:tcPr>
            <w:tcW w:w="220" w:type="dxa"/>
            <w:vAlign w:val="bottom"/>
          </w:tcPr>
          <w:p>
            <w:pPr>
              <w:spacing w:after="0"/>
              <w:rPr>
                <w:sz w:val="18"/>
                <w:szCs w:val="18"/>
                <w:color w:val="auto"/>
              </w:rPr>
            </w:pPr>
          </w:p>
        </w:tc>
        <w:tc>
          <w:tcPr>
            <w:tcW w:w="3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outstanding  shares  entitled  to  vote</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companies  and  the  vesting  of  their</w:t>
            </w:r>
          </w:p>
        </w:tc>
        <w:tc>
          <w:tcPr>
            <w:tcW w:w="220" w:type="dxa"/>
            <w:vAlign w:val="bottom"/>
          </w:tcPr>
          <w:p>
            <w:pPr>
              <w:spacing w:after="0"/>
              <w:rPr>
                <w:sz w:val="17"/>
                <w:szCs w:val="17"/>
                <w:color w:val="auto"/>
              </w:rPr>
            </w:pPr>
          </w:p>
        </w:tc>
        <w:tc>
          <w:tcPr>
            <w:tcW w:w="31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auto"/>
              </w:rPr>
              <w:t>thereon. However, unless required by its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undertaking, property and liabilities in</w:t>
            </w:r>
          </w:p>
        </w:tc>
        <w:tc>
          <w:tcPr>
            <w:tcW w:w="220" w:type="dxa"/>
            <w:vAlign w:val="bottom"/>
          </w:tcPr>
          <w:p>
            <w:pPr>
              <w:spacing w:after="0"/>
              <w:rPr>
                <w:sz w:val="17"/>
                <w:szCs w:val="17"/>
                <w:color w:val="auto"/>
              </w:rPr>
            </w:pPr>
          </w:p>
        </w:tc>
        <w:tc>
          <w:tcPr>
            <w:tcW w:w="31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auto"/>
              </w:rPr>
              <w:t>certificate of incorporation, approval is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one of such companies as the surviving</w:t>
            </w:r>
          </w:p>
        </w:tc>
        <w:tc>
          <w:tcPr>
            <w:tcW w:w="220" w:type="dxa"/>
            <w:vAlign w:val="bottom"/>
          </w:tcPr>
          <w:p>
            <w:pPr>
              <w:spacing w:after="0"/>
              <w:rPr>
                <w:sz w:val="18"/>
                <w:szCs w:val="18"/>
                <w:color w:val="auto"/>
              </w:rPr>
            </w:pPr>
          </w:p>
        </w:tc>
        <w:tc>
          <w:tcPr>
            <w:tcW w:w="3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  required  by  the  holders  of  the</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company,  and  (2)  a  “consolidation”</w:t>
            </w:r>
          </w:p>
        </w:tc>
        <w:tc>
          <w:tcPr>
            <w:tcW w:w="220" w:type="dxa"/>
            <w:vAlign w:val="bottom"/>
          </w:tcPr>
          <w:p>
            <w:pPr>
              <w:spacing w:after="0"/>
              <w:rPr>
                <w:sz w:val="17"/>
                <w:szCs w:val="17"/>
                <w:color w:val="auto"/>
              </w:rPr>
            </w:pPr>
          </w:p>
        </w:tc>
        <w:tc>
          <w:tcPr>
            <w:tcW w:w="31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auto"/>
              </w:rPr>
              <w:t>outstanding  stock  of  a  constituent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means the combination of two or more</w:t>
            </w:r>
          </w:p>
        </w:tc>
        <w:tc>
          <w:tcPr>
            <w:tcW w:w="220" w:type="dxa"/>
            <w:vAlign w:val="bottom"/>
          </w:tcPr>
          <w:p>
            <w:pPr>
              <w:spacing w:after="0"/>
              <w:rPr>
                <w:sz w:val="17"/>
                <w:szCs w:val="17"/>
                <w:color w:val="auto"/>
              </w:rPr>
            </w:pPr>
          </w:p>
        </w:tc>
        <w:tc>
          <w:tcPr>
            <w:tcW w:w="282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corporation surviving a merger if:</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constituent</w:t>
            </w:r>
          </w:p>
        </w:tc>
        <w:tc>
          <w:tcPr>
            <w:tcW w:w="1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companies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18"/>
                <w:szCs w:val="18"/>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gridSpan w:val="9"/>
            <w:vMerge w:val="restart"/>
          </w:tcPr>
          <w:p>
            <w:pPr>
              <w:ind w:left="60"/>
              <w:spacing w:after="0"/>
              <w:rPr>
                <w:sz w:val="20"/>
                <w:szCs w:val="20"/>
                <w:color w:val="auto"/>
              </w:rPr>
            </w:pPr>
            <w:r>
              <w:rPr>
                <w:rFonts w:ascii="Times New Roman" w:cs="Times New Roman" w:eastAsia="Times New Roman" w:hAnsi="Times New Roman"/>
                <w:sz w:val="18"/>
                <w:szCs w:val="18"/>
                <w:color w:val="auto"/>
              </w:rPr>
              <w:t>the merger agreement does not amend</w:t>
            </w: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980" w:type="dxa"/>
            <w:vAlign w:val="bottom"/>
            <w:gridSpan w:val="3"/>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consolidated</w:t>
            </w:r>
          </w:p>
        </w:tc>
        <w:tc>
          <w:tcPr>
            <w:tcW w:w="840" w:type="dxa"/>
            <w:vAlign w:val="bottom"/>
            <w:gridSpan w:val="2"/>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rPr>
              <w:t>company</w:t>
            </w:r>
          </w:p>
        </w:tc>
        <w:tc>
          <w:tcPr>
            <w:tcW w:w="1260" w:type="dxa"/>
            <w:vAlign w:val="bottom"/>
            <w:gridSpan w:val="3"/>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and the vesting</w:t>
            </w:r>
          </w:p>
        </w:tc>
        <w:tc>
          <w:tcPr>
            <w:tcW w:w="2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30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ind w:left="60"/>
              <w:spacing w:after="0" w:line="202" w:lineRule="exact"/>
              <w:rPr>
                <w:sz w:val="20"/>
                <w:szCs w:val="20"/>
                <w:color w:val="auto"/>
              </w:rPr>
            </w:pPr>
            <w:r>
              <w:rPr>
                <w:rFonts w:ascii="Times New Roman" w:cs="Times New Roman" w:eastAsia="Times New Roman" w:hAnsi="Times New Roman"/>
                <w:sz w:val="18"/>
                <w:szCs w:val="18"/>
                <w:color w:val="auto"/>
              </w:rPr>
              <w:t>in  any</w:t>
            </w:r>
          </w:p>
        </w:tc>
        <w:tc>
          <w:tcPr>
            <w:tcW w:w="720" w:type="dxa"/>
            <w:vAlign w:val="bottom"/>
            <w:gridSpan w:val="2"/>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respect</w:t>
            </w:r>
          </w:p>
        </w:tc>
        <w:tc>
          <w:tcPr>
            <w:tcW w:w="120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its  certificate</w:t>
            </w:r>
          </w:p>
        </w:tc>
        <w:tc>
          <w:tcPr>
            <w:tcW w:w="300" w:type="dxa"/>
            <w:vAlign w:val="bottom"/>
            <w:gridSpan w:val="2"/>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36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of</w:t>
            </w:r>
          </w:p>
        </w:tc>
        <w:tc>
          <w:tcPr>
            <w:tcW w:w="3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the</w:t>
            </w:r>
          </w:p>
        </w:tc>
        <w:tc>
          <w:tcPr>
            <w:tcW w:w="1140" w:type="dxa"/>
            <w:vAlign w:val="bottom"/>
            <w:gridSpan w:val="3"/>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auto"/>
              </w:rPr>
              <w:t>undertaking,</w:t>
            </w:r>
          </w:p>
        </w:tc>
        <w:tc>
          <w:tcPr>
            <w:tcW w:w="840" w:type="dxa"/>
            <w:vAlign w:val="bottom"/>
            <w:gridSpan w:val="2"/>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rPr>
              <w:t>property</w:t>
            </w:r>
          </w:p>
        </w:tc>
        <w:tc>
          <w:tcPr>
            <w:tcW w:w="4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and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incorporation;</w:t>
            </w: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liabilities  of  such  companies  to  the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20" w:type="dxa"/>
            <w:vAlign w:val="bottom"/>
          </w:tcPr>
          <w:p>
            <w:pPr>
              <w:spacing w:after="0"/>
              <w:rPr>
                <w:sz w:val="4"/>
                <w:szCs w:val="4"/>
                <w:color w:val="auto"/>
              </w:rPr>
            </w:pPr>
          </w:p>
        </w:tc>
        <w:tc>
          <w:tcPr>
            <w:tcW w:w="3080" w:type="dxa"/>
            <w:vAlign w:val="bottom"/>
            <w:gridSpan w:val="8"/>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consolidated company. In order to effect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 of</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15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stock outstanding</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3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such</w:t>
            </w:r>
          </w:p>
        </w:tc>
        <w:tc>
          <w:tcPr>
            <w:tcW w:w="320" w:type="dxa"/>
            <w:vAlign w:val="bottom"/>
          </w:tcPr>
          <w:p>
            <w:pPr>
              <w:ind w:left="120"/>
              <w:spacing w:after="0" w:line="170" w:lineRule="exact"/>
              <w:rPr>
                <w:sz w:val="20"/>
                <w:szCs w:val="20"/>
                <w:color w:val="auto"/>
              </w:rPr>
            </w:pPr>
            <w:r>
              <w:rPr>
                <w:rFonts w:ascii="Times New Roman" w:cs="Times New Roman" w:eastAsia="Times New Roman" w:hAnsi="Times New Roman"/>
                <w:sz w:val="18"/>
                <w:szCs w:val="18"/>
                <w:color w:val="auto"/>
              </w:rPr>
              <w:t>a</w:t>
            </w:r>
          </w:p>
        </w:tc>
        <w:tc>
          <w:tcPr>
            <w:tcW w:w="2400" w:type="dxa"/>
            <w:vAlign w:val="bottom"/>
            <w:gridSpan w:val="6"/>
          </w:tcPr>
          <w:p>
            <w:pPr>
              <w:jc w:val="right"/>
              <w:spacing w:after="0" w:line="170" w:lineRule="exact"/>
              <w:rPr>
                <w:sz w:val="20"/>
                <w:szCs w:val="20"/>
                <w:color w:val="auto"/>
              </w:rPr>
            </w:pPr>
            <w:r>
              <w:rPr>
                <w:rFonts w:ascii="Times New Roman" w:cs="Times New Roman" w:eastAsia="Times New Roman" w:hAnsi="Times New Roman"/>
                <w:sz w:val="18"/>
                <w:szCs w:val="18"/>
                <w:color w:val="auto"/>
              </w:rPr>
              <w:t>merger  or  consolidation,  the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prior</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the</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merger</w:t>
            </w: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will</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be</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an</w:t>
            </w: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directors</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each constituent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9"/>
            <w:vMerge w:val="restart"/>
          </w:tcPr>
          <w:p>
            <w:pPr>
              <w:ind w:left="60"/>
              <w:spacing w:after="0" w:line="202" w:lineRule="exact"/>
              <w:rPr>
                <w:sz w:val="20"/>
                <w:szCs w:val="20"/>
                <w:color w:val="auto"/>
              </w:rPr>
            </w:pPr>
            <w:r>
              <w:rPr>
                <w:rFonts w:ascii="Times New Roman" w:cs="Times New Roman" w:eastAsia="Times New Roman" w:hAnsi="Times New Roman"/>
                <w:sz w:val="18"/>
                <w:szCs w:val="18"/>
                <w:color w:val="auto"/>
              </w:rPr>
              <w:t>identical share of stock following the</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3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must approve a written plan of merger</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3080" w:type="dxa"/>
            <w:vAlign w:val="bottom"/>
            <w:gridSpan w:val="8"/>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merger; and</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3080" w:type="dxa"/>
            <w:vAlign w:val="bottom"/>
            <w:gridSpan w:val="8"/>
          </w:tcPr>
          <w:p>
            <w:pPr>
              <w:spacing w:after="0" w:line="170" w:lineRule="exact"/>
              <w:rPr>
                <w:sz w:val="20"/>
                <w:szCs w:val="20"/>
                <w:color w:val="auto"/>
              </w:rPr>
            </w:pPr>
            <w:r>
              <w:rPr>
                <w:rFonts w:ascii="Times New Roman" w:cs="Times New Roman" w:eastAsia="Times New Roman" w:hAnsi="Times New Roman"/>
                <w:sz w:val="18"/>
                <w:szCs w:val="18"/>
                <w:color w:val="auto"/>
              </w:rPr>
              <w:t>or consolidation, which must then be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authorized by (a) a special resolution of</w:t>
            </w:r>
          </w:p>
        </w:tc>
        <w:tc>
          <w:tcPr>
            <w:tcW w:w="220" w:type="dxa"/>
            <w:vAlign w:val="bottom"/>
          </w:tcPr>
          <w:p>
            <w:pPr>
              <w:spacing w:after="0"/>
              <w:rPr>
                <w:sz w:val="17"/>
                <w:szCs w:val="17"/>
                <w:color w:val="auto"/>
              </w:rPr>
            </w:pPr>
          </w:p>
        </w:tc>
        <w:tc>
          <w:tcPr>
            <w:tcW w:w="31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auto"/>
              </w:rPr>
              <w:t>• either  no  shares  of  the  surviving</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the  shareholders  of  each  constituent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9"/>
          </w:tcPr>
          <w:p>
            <w:pPr>
              <w:ind w:left="60"/>
              <w:spacing w:after="0" w:line="202" w:lineRule="exact"/>
              <w:rPr>
                <w:sz w:val="20"/>
                <w:szCs w:val="20"/>
                <w:color w:val="auto"/>
              </w:rPr>
            </w:pPr>
            <w:r>
              <w:rPr>
                <w:rFonts w:ascii="Times New Roman" w:cs="Times New Roman" w:eastAsia="Times New Roman" w:hAnsi="Times New Roman"/>
                <w:sz w:val="18"/>
                <w:szCs w:val="18"/>
                <w:color w:val="auto"/>
              </w:rPr>
              <w:t>corporation’s common stock and no</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such</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securities</w:t>
            </w: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3"/>
              </w:rPr>
              <w:t>or</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obligations</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authorization,  if  any,  as  may  be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9"/>
          </w:tcPr>
          <w:p>
            <w:pPr>
              <w:ind w:left="60"/>
              <w:spacing w:after="0" w:line="202" w:lineRule="exact"/>
              <w:rPr>
                <w:sz w:val="20"/>
                <w:szCs w:val="20"/>
                <w:color w:val="auto"/>
              </w:rPr>
            </w:pPr>
            <w:r>
              <w:rPr>
                <w:rFonts w:ascii="Times New Roman" w:cs="Times New Roman" w:eastAsia="Times New Roman" w:hAnsi="Times New Roman"/>
                <w:sz w:val="18"/>
                <w:szCs w:val="18"/>
                <w:color w:val="auto"/>
              </w:rPr>
              <w:t>convertible into such stock will be</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specified in such constituent company’s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9"/>
          </w:tcPr>
          <w:p>
            <w:pPr>
              <w:ind w:left="60"/>
              <w:spacing w:after="0" w:line="202" w:lineRule="exact"/>
              <w:rPr>
                <w:sz w:val="20"/>
                <w:szCs w:val="20"/>
                <w:color w:val="auto"/>
              </w:rPr>
            </w:pPr>
            <w:r>
              <w:rPr>
                <w:rFonts w:ascii="Times New Roman" w:cs="Times New Roman" w:eastAsia="Times New Roman" w:hAnsi="Times New Roman"/>
                <w:sz w:val="18"/>
                <w:szCs w:val="18"/>
                <w:color w:val="auto"/>
              </w:rPr>
              <w:t>issued or delivered pursuant to the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articles of association. The written plan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merger,  or  the  authorized  unissued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of merger or consolidation must be filed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9"/>
          </w:tcPr>
          <w:p>
            <w:pPr>
              <w:ind w:left="60"/>
              <w:spacing w:after="0" w:line="202" w:lineRule="exact"/>
              <w:rPr>
                <w:sz w:val="20"/>
                <w:szCs w:val="20"/>
                <w:color w:val="auto"/>
              </w:rPr>
            </w:pPr>
            <w:r>
              <w:rPr>
                <w:rFonts w:ascii="Times New Roman" w:cs="Times New Roman" w:eastAsia="Times New Roman" w:hAnsi="Times New Roman"/>
                <w:sz w:val="18"/>
                <w:szCs w:val="18"/>
                <w:color w:val="auto"/>
              </w:rPr>
              <w:t>shares  or  treasury  shares  of  the</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with the Registrar of Companies of the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surviving</w:t>
            </w:r>
          </w:p>
        </w:tc>
        <w:tc>
          <w:tcPr>
            <w:tcW w:w="1500" w:type="dxa"/>
            <w:vAlign w:val="bottom"/>
            <w:gridSpan w:val="4"/>
          </w:tcPr>
          <w:p>
            <w:pPr>
              <w:ind w:left="260"/>
              <w:spacing w:after="0" w:line="202" w:lineRule="exact"/>
              <w:rPr>
                <w:sz w:val="20"/>
                <w:szCs w:val="20"/>
                <w:color w:val="auto"/>
              </w:rPr>
            </w:pPr>
            <w:r>
              <w:rPr>
                <w:rFonts w:ascii="Times New Roman" w:cs="Times New Roman" w:eastAsia="Times New Roman" w:hAnsi="Times New Roman"/>
                <w:sz w:val="18"/>
                <w:szCs w:val="18"/>
                <w:color w:val="auto"/>
              </w:rPr>
              <w:t>corporation’s</w:t>
            </w:r>
          </w:p>
        </w:tc>
        <w:tc>
          <w:tcPr>
            <w:tcW w:w="7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common</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Cayman   Islands   together   with   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stock  to  be  issued  or  delivered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declaration as to the solvency of the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9"/>
          </w:tcPr>
          <w:p>
            <w:pPr>
              <w:ind w:left="60"/>
              <w:spacing w:after="0" w:line="202" w:lineRule="exact"/>
              <w:rPr>
                <w:sz w:val="20"/>
                <w:szCs w:val="20"/>
                <w:color w:val="auto"/>
              </w:rPr>
            </w:pPr>
            <w:r>
              <w:rPr>
                <w:rFonts w:ascii="Times New Roman" w:cs="Times New Roman" w:eastAsia="Times New Roman" w:hAnsi="Times New Roman"/>
                <w:sz w:val="18"/>
                <w:szCs w:val="18"/>
                <w:color w:val="auto"/>
              </w:rPr>
              <w:t>pursuant  to  the  merger  plus  those</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surviving or consolidated company, a</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9"/>
          </w:tcPr>
          <w:p>
            <w:pPr>
              <w:ind w:left="60"/>
              <w:spacing w:after="0" w:line="202" w:lineRule="exact"/>
              <w:rPr>
                <w:sz w:val="20"/>
                <w:szCs w:val="20"/>
                <w:color w:val="auto"/>
              </w:rPr>
            </w:pPr>
            <w:r>
              <w:rPr>
                <w:rFonts w:ascii="Times New Roman" w:cs="Times New Roman" w:eastAsia="Times New Roman" w:hAnsi="Times New Roman"/>
                <w:sz w:val="18"/>
                <w:szCs w:val="18"/>
                <w:color w:val="auto"/>
              </w:rPr>
              <w:t>initially issuable upon conversion of</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declaration  as  to  the  assets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9"/>
          </w:tcPr>
          <w:p>
            <w:pPr>
              <w:ind w:left="60"/>
              <w:spacing w:after="0" w:line="202" w:lineRule="exact"/>
              <w:rPr>
                <w:sz w:val="20"/>
                <w:szCs w:val="20"/>
                <w:color w:val="auto"/>
              </w:rPr>
            </w:pPr>
            <w:r>
              <w:rPr>
                <w:rFonts w:ascii="Times New Roman" w:cs="Times New Roman" w:eastAsia="Times New Roman" w:hAnsi="Times New Roman"/>
                <w:sz w:val="18"/>
                <w:szCs w:val="18"/>
                <w:color w:val="auto"/>
              </w:rPr>
              <w:t>any   other   shares,   securities   or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liabilities of each constituent company,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obligations to be issued or delivered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and an undertaking that a copy of the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9"/>
          </w:tcPr>
          <w:p>
            <w:pPr>
              <w:ind w:left="60"/>
              <w:spacing w:after="0" w:line="202" w:lineRule="exact"/>
              <w:rPr>
                <w:sz w:val="20"/>
                <w:szCs w:val="20"/>
                <w:color w:val="auto"/>
              </w:rPr>
            </w:pPr>
            <w:r>
              <w:rPr>
                <w:rFonts w:ascii="Times New Roman" w:cs="Times New Roman" w:eastAsia="Times New Roman" w:hAnsi="Times New Roman"/>
                <w:sz w:val="18"/>
                <w:szCs w:val="18"/>
                <w:color w:val="auto"/>
              </w:rPr>
              <w:t>pursuant to the merger do not exceed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certificate of merger or consolidation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9"/>
          </w:tcPr>
          <w:p>
            <w:pPr>
              <w:ind w:left="60"/>
              <w:spacing w:after="0" w:line="202" w:lineRule="exact"/>
              <w:rPr>
                <w:sz w:val="20"/>
                <w:szCs w:val="20"/>
                <w:color w:val="auto"/>
              </w:rPr>
            </w:pPr>
            <w:r>
              <w:rPr>
                <w:rFonts w:ascii="Times New Roman" w:cs="Times New Roman" w:eastAsia="Times New Roman" w:hAnsi="Times New Roman"/>
                <w:sz w:val="18"/>
                <w:szCs w:val="18"/>
                <w:color w:val="auto"/>
              </w:rPr>
              <w:t>20% of the shares of the surviving</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will  be  given  to  the  members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corporation’s</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creditors of each constituent company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9"/>
          </w:tcPr>
          <w:p>
            <w:pPr>
              <w:ind w:left="60"/>
              <w:spacing w:after="0" w:line="202" w:lineRule="exact"/>
              <w:rPr>
                <w:sz w:val="20"/>
                <w:szCs w:val="20"/>
                <w:color w:val="auto"/>
              </w:rPr>
            </w:pPr>
            <w:r>
              <w:rPr>
                <w:rFonts w:ascii="Times New Roman" w:cs="Times New Roman" w:eastAsia="Times New Roman" w:hAnsi="Times New Roman"/>
                <w:sz w:val="18"/>
                <w:szCs w:val="18"/>
                <w:color w:val="auto"/>
              </w:rPr>
              <w:t>outstanding immediately prior to the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that notification of the merger 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effective date of the merger.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consolidation will be published in the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Cayman Islands Gazette. Court approval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is  not  required  for  a  merger  or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consolidation  which  is  effected  in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compliance</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with</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these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statutory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procedures.</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740" w:space="120"/>
            <w:col w:w="701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 ​</w:t>
            </w:r>
          </w:p>
        </w:tc>
        <w:tc>
          <w:tcPr>
            <w:tcW w:w="254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540" w:type="dxa"/>
            <w:vAlign w:val="bottom"/>
          </w:tcPr>
          <w:p>
            <w:pPr>
              <w:spacing w:after="0"/>
              <w:rPr>
                <w:sz w:val="16"/>
                <w:szCs w:val="16"/>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7"/>
        </w:trPr>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20" w:type="dxa"/>
            <w:vAlign w:val="bottom"/>
            <w:vMerge w:val="continue"/>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  merger  between  a  Cayman</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Mergers in which one corporation owns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ind w:left="3080"/>
        <w:spacing w:after="0" w:line="236" w:lineRule="auto"/>
        <w:rPr>
          <w:sz w:val="20"/>
          <w:szCs w:val="20"/>
          <w:color w:val="auto"/>
        </w:rPr>
      </w:pPr>
      <w:r>
        <w:rPr>
          <w:rFonts w:ascii="Times New Roman" w:cs="Times New Roman" w:eastAsia="Times New Roman" w:hAnsi="Times New Roman"/>
          <w:sz w:val="18"/>
          <w:szCs w:val="18"/>
          <w:color w:val="auto"/>
        </w:rPr>
        <w:t>company and its Cayman subsidiary or</w:t>
      </w:r>
    </w:p>
    <w:p>
      <w:pPr>
        <w:ind w:left="3080"/>
        <w:spacing w:after="0" w:line="235" w:lineRule="auto"/>
        <w:tabs>
          <w:tab w:leader="none" w:pos="4320" w:val="left"/>
          <w:tab w:leader="none" w:pos="5000" w:val="left"/>
          <w:tab w:leader="none" w:pos="5600" w:val="left"/>
        </w:tabs>
        <w:rPr>
          <w:sz w:val="20"/>
          <w:szCs w:val="20"/>
          <w:color w:val="auto"/>
        </w:rPr>
      </w:pPr>
      <w:r>
        <w:rPr>
          <w:rFonts w:ascii="Times New Roman" w:cs="Times New Roman" w:eastAsia="Times New Roman" w:hAnsi="Times New Roman"/>
          <w:sz w:val="18"/>
          <w:szCs w:val="18"/>
          <w:color w:val="auto"/>
        </w:rPr>
        <w:t>subsidiaries</w:t>
      </w:r>
      <w:r>
        <w:rPr>
          <w:sz w:val="20"/>
          <w:szCs w:val="20"/>
          <w:color w:val="auto"/>
        </w:rPr>
        <w:tab/>
      </w:r>
      <w:r>
        <w:rPr>
          <w:rFonts w:ascii="Times New Roman" w:cs="Times New Roman" w:eastAsia="Times New Roman" w:hAnsi="Times New Roman"/>
          <w:sz w:val="18"/>
          <w:szCs w:val="18"/>
          <w:color w:val="auto"/>
        </w:rPr>
        <w:t>does</w:t>
      </w:r>
      <w:r>
        <w:rPr>
          <w:sz w:val="20"/>
          <w:szCs w:val="20"/>
          <w:color w:val="auto"/>
        </w:rPr>
        <w:tab/>
      </w:r>
      <w:r>
        <w:rPr>
          <w:rFonts w:ascii="Times New Roman" w:cs="Times New Roman" w:eastAsia="Times New Roman" w:hAnsi="Times New Roman"/>
          <w:sz w:val="18"/>
          <w:szCs w:val="18"/>
          <w:color w:val="auto"/>
        </w:rPr>
        <w:t>not</w:t>
      </w:r>
      <w:r>
        <w:rPr>
          <w:sz w:val="20"/>
          <w:szCs w:val="20"/>
          <w:color w:val="auto"/>
        </w:rPr>
        <w:tab/>
      </w:r>
      <w:r>
        <w:rPr>
          <w:rFonts w:ascii="Times New Roman" w:cs="Times New Roman" w:eastAsia="Times New Roman" w:hAnsi="Times New Roman"/>
          <w:sz w:val="18"/>
          <w:szCs w:val="18"/>
          <w:color w:val="auto"/>
        </w:rPr>
        <w:t>require</w:t>
      </w:r>
    </w:p>
    <w:p>
      <w:pPr>
        <w:ind w:left="3080"/>
        <w:spacing w:after="0"/>
        <w:tabs>
          <w:tab w:leader="none" w:pos="4280" w:val="left"/>
          <w:tab w:leader="none" w:pos="4700" w:val="left"/>
          <w:tab w:leader="none" w:pos="5000" w:val="left"/>
          <w:tab w:leader="none" w:pos="5980" w:val="left"/>
        </w:tabs>
        <w:rPr>
          <w:sz w:val="20"/>
          <w:szCs w:val="20"/>
          <w:color w:val="auto"/>
        </w:rPr>
      </w:pPr>
      <w:r>
        <w:rPr>
          <w:rFonts w:ascii="Times New Roman" w:cs="Times New Roman" w:eastAsia="Times New Roman" w:hAnsi="Times New Roman"/>
          <w:sz w:val="18"/>
          <w:szCs w:val="18"/>
          <w:color w:val="auto"/>
        </w:rPr>
        <w:t>authorization</w:t>
        <w:tab/>
        <w:t>by</w:t>
        <w:tab/>
        <w:t>a</w:t>
        <w:tab/>
        <w:t>resolution</w:t>
        <w:tab/>
        <w:t>of</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shareholders of that Cayman subsidiary</w:t>
      </w:r>
    </w:p>
    <w:p>
      <w:pPr>
        <w:ind w:left="3080"/>
        <w:spacing w:after="0" w:line="234" w:lineRule="auto"/>
        <w:rPr>
          <w:sz w:val="20"/>
          <w:szCs w:val="20"/>
          <w:color w:val="auto"/>
        </w:rPr>
      </w:pPr>
      <w:r>
        <w:rPr>
          <w:rFonts w:ascii="Times New Roman" w:cs="Times New Roman" w:eastAsia="Times New Roman" w:hAnsi="Times New Roman"/>
          <w:sz w:val="18"/>
          <w:szCs w:val="18"/>
          <w:color w:val="auto"/>
        </w:rPr>
        <w:t>if a copy of the plan of merger is given</w:t>
      </w:r>
    </w:p>
    <w:p>
      <w:pPr>
        <w:spacing w:after="0" w:line="1" w:lineRule="exact"/>
        <w:rPr>
          <w:sz w:val="20"/>
          <w:szCs w:val="20"/>
          <w:color w:val="auto"/>
        </w:rPr>
      </w:pPr>
    </w:p>
    <w:p>
      <w:pPr>
        <w:ind w:left="3080"/>
        <w:spacing w:after="0"/>
        <w:tabs>
          <w:tab w:leader="none" w:pos="3380" w:val="left"/>
          <w:tab w:leader="none" w:pos="3960" w:val="left"/>
          <w:tab w:leader="none" w:pos="4740" w:val="left"/>
          <w:tab w:leader="none" w:pos="5060" w:val="left"/>
          <w:tab w:leader="none" w:pos="5520" w:val="left"/>
        </w:tabs>
        <w:rPr>
          <w:sz w:val="20"/>
          <w:szCs w:val="20"/>
          <w:color w:val="auto"/>
        </w:rPr>
      </w:pPr>
      <w:r>
        <w:rPr>
          <w:rFonts w:ascii="Times New Roman" w:cs="Times New Roman" w:eastAsia="Times New Roman" w:hAnsi="Times New Roman"/>
          <w:sz w:val="18"/>
          <w:szCs w:val="18"/>
          <w:color w:val="auto"/>
        </w:rPr>
        <w:t>to</w:t>
        <w:tab/>
        <w:t>every</w:t>
        <w:tab/>
        <w:t>member</w:t>
        <w:tab/>
        <w:t>of</w:t>
        <w:tab/>
        <w:t>that</w:t>
        <w:tab/>
        <w:t>Cayman</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subsidiary  to  be  merged  unless  that</w:t>
      </w:r>
    </w:p>
    <w:p>
      <w:pPr>
        <w:ind w:left="3080"/>
        <w:spacing w:after="0" w:line="234" w:lineRule="auto"/>
        <w:tabs>
          <w:tab w:leader="none" w:pos="3840" w:val="left"/>
          <w:tab w:leader="none" w:pos="4480" w:val="left"/>
          <w:tab w:leader="none" w:pos="5440" w:val="left"/>
          <w:tab w:leader="none" w:pos="5860" w:val="left"/>
        </w:tabs>
        <w:rPr>
          <w:sz w:val="20"/>
          <w:szCs w:val="20"/>
          <w:color w:val="auto"/>
        </w:rPr>
      </w:pPr>
      <w:r>
        <w:rPr>
          <w:rFonts w:ascii="Times New Roman" w:cs="Times New Roman" w:eastAsia="Times New Roman" w:hAnsi="Times New Roman"/>
          <w:sz w:val="18"/>
          <w:szCs w:val="18"/>
          <w:color w:val="auto"/>
        </w:rPr>
        <w:t>member</w:t>
        <w:tab/>
        <w:t>agrees</w:t>
        <w:tab/>
        <w:t>otherwise.</w:t>
        <w:tab/>
        <w:t>For</w:t>
        <w:tab/>
        <w:t>this</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purpose, a company is a “parent” of a</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subsidiary if it holds issued shares that</w:t>
      </w:r>
    </w:p>
    <w:p>
      <w:pPr>
        <w:ind w:left="3080"/>
        <w:spacing w:after="0" w:line="234" w:lineRule="auto"/>
        <w:rPr>
          <w:sz w:val="20"/>
          <w:szCs w:val="20"/>
          <w:color w:val="auto"/>
        </w:rPr>
      </w:pPr>
      <w:r>
        <w:rPr>
          <w:rFonts w:ascii="Times New Roman" w:cs="Times New Roman" w:eastAsia="Times New Roman" w:hAnsi="Times New Roman"/>
          <w:sz w:val="18"/>
          <w:szCs w:val="18"/>
          <w:color w:val="auto"/>
        </w:rPr>
        <w:t>together represent at least 90% of the</w:t>
      </w:r>
    </w:p>
    <w:p>
      <w:pPr>
        <w:spacing w:after="0" w:line="1" w:lineRule="exact"/>
        <w:rPr>
          <w:sz w:val="20"/>
          <w:szCs w:val="20"/>
          <w:color w:val="auto"/>
        </w:rPr>
      </w:pPr>
    </w:p>
    <w:p>
      <w:pPr>
        <w:ind w:left="3080"/>
        <w:spacing w:after="0"/>
        <w:tabs>
          <w:tab w:leader="none" w:pos="3620" w:val="left"/>
          <w:tab w:leader="none" w:pos="3900" w:val="left"/>
          <w:tab w:leader="none" w:pos="4140" w:val="left"/>
          <w:tab w:leader="none" w:pos="4840" w:val="left"/>
          <w:tab w:leader="none" w:pos="5600" w:val="left"/>
          <w:tab w:leader="none" w:pos="5920" w:val="left"/>
        </w:tabs>
        <w:rPr>
          <w:sz w:val="20"/>
          <w:szCs w:val="20"/>
          <w:color w:val="auto"/>
        </w:rPr>
      </w:pPr>
      <w:r>
        <w:rPr>
          <w:rFonts w:ascii="Times New Roman" w:cs="Times New Roman" w:eastAsia="Times New Roman" w:hAnsi="Times New Roman"/>
          <w:sz w:val="18"/>
          <w:szCs w:val="18"/>
          <w:color w:val="auto"/>
        </w:rPr>
        <w:t>votes</w:t>
        <w:tab/>
        <w:t>at</w:t>
        <w:tab/>
        <w:t>a</w:t>
        <w:tab/>
        <w:t>general</w:t>
        <w:tab/>
        <w:t>meeting</w:t>
        <w:tab/>
        <w:t>of</w:t>
        <w:tab/>
        <w:t>the</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subsidiary.</w:t>
      </w:r>
    </w:p>
    <w:p>
      <w:pPr>
        <w:spacing w:after="0" w:line="8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The consent of each holder of a fixed or</w:t>
      </w:r>
    </w:p>
    <w:p>
      <w:pPr>
        <w:spacing w:after="0" w:line="16" w:lineRule="exact"/>
        <w:rPr>
          <w:sz w:val="20"/>
          <w:szCs w:val="20"/>
          <w:color w:val="auto"/>
        </w:rPr>
      </w:pPr>
    </w:p>
    <w:p>
      <w:pPr>
        <w:ind w:left="3080"/>
        <w:spacing w:after="0"/>
        <w:tabs>
          <w:tab w:leader="none" w:pos="3880" w:val="left"/>
          <w:tab w:leader="none" w:pos="4700" w:val="left"/>
          <w:tab w:leader="none" w:pos="5500" w:val="left"/>
          <w:tab w:leader="none" w:pos="6060" w:val="left"/>
        </w:tabs>
        <w:rPr>
          <w:sz w:val="20"/>
          <w:szCs w:val="20"/>
          <w:color w:val="auto"/>
        </w:rPr>
      </w:pPr>
      <w:r>
        <w:rPr>
          <w:rFonts w:ascii="Times New Roman" w:cs="Times New Roman" w:eastAsia="Times New Roman" w:hAnsi="Times New Roman"/>
          <w:sz w:val="18"/>
          <w:szCs w:val="18"/>
          <w:color w:val="auto"/>
        </w:rPr>
        <w:t>floating</w:t>
        <w:tab/>
        <w:t>security</w:t>
        <w:tab/>
        <w:t>interest</w:t>
        <w:tab/>
        <w:t>over</w:t>
        <w:tab/>
        <w:t>a</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constituent company is required unless</w:t>
      </w:r>
    </w:p>
    <w:p>
      <w:pPr>
        <w:ind w:left="3080"/>
        <w:spacing w:after="0" w:line="234" w:lineRule="auto"/>
        <w:rPr>
          <w:sz w:val="20"/>
          <w:szCs w:val="20"/>
          <w:color w:val="auto"/>
        </w:rPr>
      </w:pPr>
      <w:r>
        <w:rPr>
          <w:rFonts w:ascii="Times New Roman" w:cs="Times New Roman" w:eastAsia="Times New Roman" w:hAnsi="Times New Roman"/>
          <w:sz w:val="18"/>
          <w:szCs w:val="18"/>
          <w:color w:val="auto"/>
        </w:rPr>
        <w:t>this requirement is waived by a court in</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the Cayman Islands.</w:t>
      </w:r>
    </w:p>
    <w:p>
      <w:pPr>
        <w:spacing w:after="0" w:line="20" w:lineRule="exact"/>
        <w:rPr>
          <w:sz w:val="20"/>
          <w:szCs w:val="20"/>
          <w:color w:val="auto"/>
        </w:rPr>
      </w:pPr>
      <w:r>
        <w:rPr>
          <w:sz w:val="20"/>
          <w:szCs w:val="20"/>
          <w:color w:val="auto"/>
        </w:rPr>
        <w:br w:type="column"/>
      </w:r>
    </w:p>
    <w:p>
      <w:pPr>
        <w:jc w:val="both"/>
        <w:ind w:right="439"/>
        <w:spacing w:after="0" w:line="243" w:lineRule="auto"/>
        <w:rPr>
          <w:sz w:val="20"/>
          <w:szCs w:val="20"/>
          <w:color w:val="auto"/>
        </w:rPr>
      </w:pPr>
      <w:r>
        <w:rPr>
          <w:rFonts w:ascii="Times New Roman" w:cs="Times New Roman" w:eastAsia="Times New Roman" w:hAnsi="Times New Roman"/>
          <w:sz w:val="18"/>
          <w:szCs w:val="18"/>
          <w:color w:val="auto"/>
        </w:rPr>
        <w:t>90% or more of a second corporation may be completed without the vote of the second corporation’s board of directors or stockholders.</w:t>
      </w:r>
    </w:p>
    <w:p>
      <w:pPr>
        <w:spacing w:after="0" w:line="2989" w:lineRule="exact"/>
        <w:rPr>
          <w:sz w:val="20"/>
          <w:szCs w:val="20"/>
          <w:color w:val="auto"/>
        </w:rPr>
      </w:pPr>
    </w:p>
    <w:p>
      <w:pPr>
        <w:sectPr>
          <w:pgSz w:w="11900" w:h="16838" w:orient="portrait"/>
          <w:cols w:equalWidth="0" w:num="2">
            <w:col w:w="6160" w:space="220"/>
            <w:col w:w="3499"/>
          </w:cols>
          <w:pgMar w:left="580" w:top="97" w:right="1440" w:bottom="1440" w:gutter="0" w:footer="0" w:header="0"/>
          <w:type w:val="continuous"/>
        </w:sectPr>
      </w:pPr>
    </w:p>
    <w:p>
      <w:pPr>
        <w:ind w:left="1260"/>
        <w:spacing w:after="0" w:line="216" w:lineRule="auto"/>
        <w:tabs>
          <w:tab w:leader="none" w:pos="2840" w:val="left"/>
        </w:tabs>
        <w:rPr>
          <w:sz w:val="20"/>
          <w:szCs w:val="20"/>
          <w:color w:val="auto"/>
        </w:rPr>
      </w:pPr>
      <w:r>
        <w:rPr>
          <w:rFonts w:ascii="Times New Roman" w:cs="Times New Roman" w:eastAsia="Times New Roman" w:hAnsi="Times New Roman"/>
          <w:sz w:val="36"/>
          <w:szCs w:val="36"/>
          <w:color w:val="auto"/>
          <w:vertAlign w:val="superscript"/>
        </w:rPr>
        <w:t>​</w:t>
      </w:r>
      <w:r>
        <w:rPr>
          <w:sz w:val="20"/>
          <w:szCs w:val="20"/>
          <w:color w:val="auto"/>
        </w:rPr>
        <w:tab/>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Save in certain limited circumstances, a</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Generally, a stockholder of a publicly</w:t>
      </w:r>
      <w:r>
        <w:rPr>
          <w:rFonts w:ascii="Times New Roman" w:cs="Times New Roman" w:eastAsia="Times New Roman" w:hAnsi="Times New Roman"/>
          <w:sz w:val="35"/>
          <w:szCs w:val="35"/>
          <w:color w:val="auto"/>
          <w:vertAlign w:val="superscript"/>
        </w:rPr>
        <w:t>​</w:t>
      </w:r>
    </w:p>
    <w:p>
      <w:pPr>
        <w:sectPr>
          <w:pgSz w:w="11900" w:h="16838" w:orient="portrait"/>
          <w:cols w:equalWidth="0" w:num="1">
            <w:col w:w="9879"/>
          </w:cols>
          <w:pgMar w:left="580" w:top="97" w:right="1440" w:bottom="1440" w:gutter="0" w:footer="0" w:header="0"/>
          <w:type w:val="continuous"/>
        </w:sectPr>
      </w:pPr>
    </w:p>
    <w:p>
      <w:pPr>
        <w:ind w:left="3080"/>
        <w:spacing w:after="0" w:line="235" w:lineRule="auto"/>
        <w:rPr>
          <w:sz w:val="20"/>
          <w:szCs w:val="20"/>
          <w:color w:val="auto"/>
        </w:rPr>
      </w:pPr>
      <w:r>
        <w:rPr>
          <w:rFonts w:ascii="Times New Roman" w:cs="Times New Roman" w:eastAsia="Times New Roman" w:hAnsi="Times New Roman"/>
          <w:sz w:val="18"/>
          <w:szCs w:val="18"/>
          <w:color w:val="auto"/>
        </w:rPr>
        <w:t>shareholder  of  a  Cayman  constituent</w:t>
      </w:r>
    </w:p>
    <w:p>
      <w:pPr>
        <w:ind w:left="3080"/>
        <w:spacing w:after="0" w:line="235" w:lineRule="auto"/>
        <w:rPr>
          <w:sz w:val="20"/>
          <w:szCs w:val="20"/>
          <w:color w:val="auto"/>
        </w:rPr>
      </w:pPr>
      <w:r>
        <w:rPr>
          <w:rFonts w:ascii="Times New Roman" w:cs="Times New Roman" w:eastAsia="Times New Roman" w:hAnsi="Times New Roman"/>
          <w:sz w:val="18"/>
          <w:szCs w:val="18"/>
          <w:color w:val="auto"/>
        </w:rPr>
        <w:t>company who dissents from the merger</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or consolidation is entitled to payment</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of the fair value of his shares (which, if</w:t>
      </w:r>
    </w:p>
    <w:p>
      <w:pPr>
        <w:ind w:left="3080"/>
        <w:spacing w:after="0" w:line="234" w:lineRule="auto"/>
        <w:rPr>
          <w:sz w:val="20"/>
          <w:szCs w:val="20"/>
          <w:color w:val="auto"/>
        </w:rPr>
      </w:pPr>
      <w:r>
        <w:rPr>
          <w:rFonts w:ascii="Times New Roman" w:cs="Times New Roman" w:eastAsia="Times New Roman" w:hAnsi="Times New Roman"/>
          <w:sz w:val="18"/>
          <w:szCs w:val="18"/>
          <w:color w:val="auto"/>
        </w:rPr>
        <w:t>not agreed between the parties, will be</w:t>
      </w:r>
    </w:p>
    <w:p>
      <w:pPr>
        <w:spacing w:after="0" w:line="1" w:lineRule="exact"/>
        <w:rPr>
          <w:sz w:val="20"/>
          <w:szCs w:val="20"/>
          <w:color w:val="auto"/>
        </w:rPr>
      </w:pPr>
    </w:p>
    <w:p>
      <w:pPr>
        <w:ind w:left="3080"/>
        <w:spacing w:after="0"/>
        <w:tabs>
          <w:tab w:leader="none" w:pos="4080" w:val="left"/>
          <w:tab w:leader="none" w:pos="4420" w:val="left"/>
          <w:tab w:leader="none" w:pos="4820" w:val="left"/>
          <w:tab w:leader="none" w:pos="5600" w:val="left"/>
        </w:tabs>
        <w:rPr>
          <w:sz w:val="20"/>
          <w:szCs w:val="20"/>
          <w:color w:val="auto"/>
        </w:rPr>
      </w:pPr>
      <w:r>
        <w:rPr>
          <w:rFonts w:ascii="Times New Roman" w:cs="Times New Roman" w:eastAsia="Times New Roman" w:hAnsi="Times New Roman"/>
          <w:sz w:val="18"/>
          <w:szCs w:val="18"/>
          <w:color w:val="auto"/>
        </w:rPr>
        <w:t>determined</w:t>
        <w:tab/>
        <w:t>by</w:t>
        <w:tab/>
        <w:t>the</w:t>
        <w:tab/>
        <w:t>Cayman</w:t>
        <w:tab/>
        <w:t>Islands</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court) upon dissenting to the merger or</w:t>
      </w:r>
    </w:p>
    <w:p>
      <w:pPr>
        <w:ind w:left="3080"/>
        <w:spacing w:after="0" w:line="234" w:lineRule="auto"/>
        <w:tabs>
          <w:tab w:leader="none" w:pos="4400" w:val="left"/>
          <w:tab w:leader="none" w:pos="5340" w:val="left"/>
          <w:tab w:leader="none" w:pos="5900" w:val="left"/>
        </w:tabs>
        <w:rPr>
          <w:sz w:val="20"/>
          <w:szCs w:val="20"/>
          <w:color w:val="auto"/>
        </w:rPr>
      </w:pPr>
      <w:r>
        <w:rPr>
          <w:rFonts w:ascii="Times New Roman" w:cs="Times New Roman" w:eastAsia="Times New Roman" w:hAnsi="Times New Roman"/>
          <w:sz w:val="18"/>
          <w:szCs w:val="18"/>
          <w:color w:val="auto"/>
        </w:rPr>
        <w:t>consolidation;</w:t>
        <w:tab/>
        <w:t>provided</w:t>
        <w:tab/>
        <w:t>that</w:t>
        <w:tab/>
        <w:t>the</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dissenting shareholder complies strictly</w:t>
      </w:r>
    </w:p>
    <w:p>
      <w:pPr>
        <w:spacing w:after="0" w:line="5" w:lineRule="exact"/>
        <w:rPr>
          <w:sz w:val="20"/>
          <w:szCs w:val="20"/>
          <w:color w:val="auto"/>
        </w:rPr>
      </w:pPr>
    </w:p>
    <w:p>
      <w:pPr>
        <w:ind w:left="3080"/>
        <w:spacing w:after="0"/>
        <w:tabs>
          <w:tab w:leader="none" w:pos="3540" w:val="left"/>
          <w:tab w:leader="none" w:pos="3920" w:val="left"/>
          <w:tab w:leader="none" w:pos="4880" w:val="left"/>
          <w:tab w:leader="none" w:pos="5240" w:val="left"/>
          <w:tab w:leader="none" w:pos="5620" w:val="left"/>
          <w:tab w:leader="none" w:pos="5920" w:val="left"/>
        </w:tabs>
        <w:rPr>
          <w:sz w:val="20"/>
          <w:szCs w:val="20"/>
          <w:color w:val="auto"/>
        </w:rPr>
      </w:pPr>
      <w:r>
        <w:rPr>
          <w:rFonts w:ascii="Times New Roman" w:cs="Times New Roman" w:eastAsia="Times New Roman" w:hAnsi="Times New Roman"/>
          <w:sz w:val="18"/>
          <w:szCs w:val="18"/>
          <w:color w:val="auto"/>
        </w:rPr>
        <w:t>with</w:t>
        <w:tab/>
        <w:t>the</w:t>
        <w:tab/>
        <w:t>procedures</w:t>
        <w:tab/>
        <w:t>set</w:t>
        <w:tab/>
        <w:t>out</w:t>
        <w:tab/>
        <w:t>in</w:t>
        <w:tab/>
        <w:t>the</w:t>
      </w:r>
    </w:p>
    <w:p>
      <w:pPr>
        <w:ind w:left="3080"/>
        <w:spacing w:after="0" w:line="234" w:lineRule="auto"/>
        <w:tabs>
          <w:tab w:leader="none" w:pos="4080" w:val="left"/>
          <w:tab w:leader="none" w:pos="4520" w:val="left"/>
          <w:tab w:leader="none" w:pos="4960" w:val="left"/>
          <w:tab w:leader="none" w:pos="5840" w:val="left"/>
        </w:tabs>
        <w:rPr>
          <w:sz w:val="20"/>
          <w:szCs w:val="20"/>
          <w:color w:val="auto"/>
        </w:rPr>
      </w:pPr>
      <w:r>
        <w:rPr>
          <w:rFonts w:ascii="Times New Roman" w:cs="Times New Roman" w:eastAsia="Times New Roman" w:hAnsi="Times New Roman"/>
          <w:sz w:val="18"/>
          <w:szCs w:val="18"/>
          <w:color w:val="auto"/>
        </w:rPr>
        <w:t>Companies</w:t>
        <w:tab/>
        <w:t>Act</w:t>
        <w:tab/>
        <w:t>(As</w:t>
        <w:tab/>
        <w:t>Revised).</w:t>
        <w:tab/>
        <w:t>The</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exercise of dissenter rights will preclude</w:t>
      </w:r>
    </w:p>
    <w:p>
      <w:pPr>
        <w:spacing w:after="0" w:line="5" w:lineRule="exact"/>
        <w:rPr>
          <w:sz w:val="20"/>
          <w:szCs w:val="20"/>
          <w:color w:val="auto"/>
        </w:rPr>
      </w:pPr>
    </w:p>
    <w:p>
      <w:pPr>
        <w:ind w:left="3080"/>
        <w:spacing w:after="0"/>
        <w:tabs>
          <w:tab w:leader="none" w:pos="3560" w:val="left"/>
          <w:tab w:leader="none" w:pos="4440" w:val="left"/>
          <w:tab w:leader="none" w:pos="4880" w:val="left"/>
          <w:tab w:leader="none" w:pos="5380" w:val="left"/>
        </w:tabs>
        <w:rPr>
          <w:sz w:val="20"/>
          <w:szCs w:val="20"/>
          <w:color w:val="auto"/>
        </w:rPr>
      </w:pPr>
      <w:r>
        <w:rPr>
          <w:rFonts w:ascii="Times New Roman" w:cs="Times New Roman" w:eastAsia="Times New Roman" w:hAnsi="Times New Roman"/>
          <w:sz w:val="18"/>
          <w:szCs w:val="18"/>
          <w:color w:val="auto"/>
        </w:rPr>
        <w:t>the</w:t>
        <w:tab/>
        <w:t>exercise</w:t>
        <w:tab/>
        <w:t>by</w:t>
        <w:tab/>
        <w:t>the</w:t>
        <w:tab/>
        <w:t>dissenting</w:t>
      </w:r>
    </w:p>
    <w:p>
      <w:pPr>
        <w:ind w:left="3080"/>
        <w:spacing w:after="0" w:line="234" w:lineRule="auto"/>
        <w:rPr>
          <w:sz w:val="20"/>
          <w:szCs w:val="20"/>
          <w:color w:val="auto"/>
        </w:rPr>
      </w:pPr>
      <w:r>
        <w:rPr>
          <w:rFonts w:ascii="Times New Roman" w:cs="Times New Roman" w:eastAsia="Times New Roman" w:hAnsi="Times New Roman"/>
          <w:sz w:val="18"/>
          <w:szCs w:val="18"/>
          <w:color w:val="auto"/>
        </w:rPr>
        <w:t>shareholder of any other rights to which</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he or she might otherwise be entitled by</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virtue of holding shares, save for the</w:t>
      </w:r>
    </w:p>
    <w:p>
      <w:pPr>
        <w:ind w:left="3080"/>
        <w:spacing w:after="0" w:line="234" w:lineRule="auto"/>
        <w:rPr>
          <w:sz w:val="20"/>
          <w:szCs w:val="20"/>
          <w:color w:val="auto"/>
        </w:rPr>
      </w:pPr>
      <w:r>
        <w:rPr>
          <w:rFonts w:ascii="Times New Roman" w:cs="Times New Roman" w:eastAsia="Times New Roman" w:hAnsi="Times New Roman"/>
          <w:sz w:val="18"/>
          <w:szCs w:val="18"/>
          <w:color w:val="auto"/>
        </w:rPr>
        <w:t>right to seek relief on the grounds that</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the merger or consolidation is void or</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unlawful.</w:t>
      </w:r>
    </w:p>
    <w:p>
      <w:pPr>
        <w:spacing w:after="0" w:line="8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Separate from the statutory provisions</w:t>
      </w:r>
    </w:p>
    <w:p>
      <w:pPr>
        <w:spacing w:after="0" w:line="1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relating to mergers and consolidations,</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the Companies Act (As Revised) also</w:t>
      </w:r>
    </w:p>
    <w:p>
      <w:pPr>
        <w:ind w:left="3080"/>
        <w:spacing w:after="0" w:line="234" w:lineRule="auto"/>
        <w:tabs>
          <w:tab w:leader="none" w:pos="3920" w:val="left"/>
          <w:tab w:leader="none" w:pos="4820" w:val="left"/>
          <w:tab w:leader="none" w:pos="5860" w:val="left"/>
        </w:tabs>
        <w:rPr>
          <w:sz w:val="20"/>
          <w:szCs w:val="20"/>
          <w:color w:val="auto"/>
        </w:rPr>
      </w:pPr>
      <w:r>
        <w:rPr>
          <w:rFonts w:ascii="Times New Roman" w:cs="Times New Roman" w:eastAsia="Times New Roman" w:hAnsi="Times New Roman"/>
          <w:sz w:val="18"/>
          <w:szCs w:val="18"/>
          <w:color w:val="auto"/>
        </w:rPr>
        <w:t>contains</w:t>
        <w:tab/>
        <w:t>statutory</w:t>
        <w:tab/>
        <w:t>provisions</w:t>
        <w:tab/>
        <w:t>that</w:t>
      </w:r>
    </w:p>
    <w:p>
      <w:pPr>
        <w:spacing w:after="0" w:line="1" w:lineRule="exact"/>
        <w:rPr>
          <w:sz w:val="20"/>
          <w:szCs w:val="20"/>
          <w:color w:val="auto"/>
        </w:rPr>
      </w:pPr>
    </w:p>
    <w:p>
      <w:pPr>
        <w:ind w:left="3080"/>
        <w:spacing w:after="0"/>
        <w:tabs>
          <w:tab w:leader="none" w:pos="4000" w:val="left"/>
          <w:tab w:leader="none" w:pos="4500" w:val="left"/>
          <w:tab w:leader="none" w:pos="5860" w:val="left"/>
        </w:tabs>
        <w:rPr>
          <w:sz w:val="20"/>
          <w:szCs w:val="20"/>
          <w:color w:val="auto"/>
        </w:rPr>
      </w:pPr>
      <w:r>
        <w:rPr>
          <w:rFonts w:ascii="Times New Roman" w:cs="Times New Roman" w:eastAsia="Times New Roman" w:hAnsi="Times New Roman"/>
          <w:sz w:val="18"/>
          <w:szCs w:val="18"/>
          <w:color w:val="auto"/>
        </w:rPr>
        <w:t>facilitate</w:t>
        <w:tab/>
        <w:t>the</w:t>
        <w:tab/>
        <w:t>reconstruction</w:t>
        <w:tab/>
        <w:t>and</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amalgamation of companies by way of</w:t>
      </w:r>
    </w:p>
    <w:p>
      <w:pPr>
        <w:ind w:left="3080"/>
        <w:spacing w:after="0" w:line="234" w:lineRule="auto"/>
        <w:rPr>
          <w:sz w:val="20"/>
          <w:szCs w:val="20"/>
          <w:color w:val="auto"/>
        </w:rPr>
      </w:pPr>
      <w:r>
        <w:rPr>
          <w:rFonts w:ascii="Times New Roman" w:cs="Times New Roman" w:eastAsia="Times New Roman" w:hAnsi="Times New Roman"/>
          <w:sz w:val="18"/>
          <w:szCs w:val="18"/>
          <w:color w:val="auto"/>
        </w:rPr>
        <w:t>schemes of arrangement; provided that</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the arrangement is approved by (a) 75%</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in  value  of  shareholders  or  class  of</w:t>
      </w:r>
    </w:p>
    <w:p>
      <w:pPr>
        <w:ind w:left="3080"/>
        <w:spacing w:after="0" w:line="234" w:lineRule="auto"/>
        <w:rPr>
          <w:sz w:val="20"/>
          <w:szCs w:val="20"/>
          <w:color w:val="auto"/>
        </w:rPr>
      </w:pPr>
      <w:r>
        <w:rPr>
          <w:rFonts w:ascii="Times New Roman" w:cs="Times New Roman" w:eastAsia="Times New Roman" w:hAnsi="Times New Roman"/>
          <w:sz w:val="18"/>
          <w:szCs w:val="18"/>
          <w:color w:val="auto"/>
        </w:rPr>
        <w:t>shareholders, as the case may be, or</w:t>
      </w:r>
    </w:p>
    <w:p>
      <w:pPr>
        <w:spacing w:after="0" w:line="1" w:lineRule="exact"/>
        <w:rPr>
          <w:sz w:val="20"/>
          <w:szCs w:val="20"/>
          <w:color w:val="auto"/>
        </w:rPr>
      </w:pPr>
    </w:p>
    <w:p>
      <w:pPr>
        <w:jc w:val="both"/>
        <w:ind w:left="3080" w:firstLine="3"/>
        <w:spacing w:after="0" w:line="241" w:lineRule="auto"/>
        <w:tabs>
          <w:tab w:leader="none" w:pos="3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in number representing 75% in value of the creditors or class of creditors, as the case may be, with whom the arrangement is to be made, that are, in each case, present and voting either in person or by proxy at a meeting, or</w:t>
      </w:r>
    </w:p>
    <w:p>
      <w:pPr>
        <w:spacing w:after="0" w:line="20" w:lineRule="exact"/>
        <w:rPr>
          <w:sz w:val="20"/>
          <w:szCs w:val="20"/>
          <w:color w:val="auto"/>
        </w:rPr>
      </w:pPr>
      <w:r>
        <w:rPr>
          <w:sz w:val="20"/>
          <w:szCs w:val="20"/>
          <w:color w:val="auto"/>
        </w:rPr>
        <w:br w:type="column"/>
      </w:r>
    </w:p>
    <w:p>
      <w:pPr>
        <w:jc w:val="both"/>
        <w:ind w:right="439"/>
        <w:spacing w:after="0"/>
        <w:rPr>
          <w:sz w:val="20"/>
          <w:szCs w:val="20"/>
          <w:color w:val="auto"/>
        </w:rPr>
      </w:pPr>
      <w:r>
        <w:rPr>
          <w:rFonts w:ascii="Times New Roman" w:cs="Times New Roman" w:eastAsia="Times New Roman" w:hAnsi="Times New Roman"/>
          <w:sz w:val="18"/>
          <w:szCs w:val="18"/>
          <w:color w:val="auto"/>
        </w:rPr>
        <w:t>traded corporation does not have appraisal rights in connection with a merger.</w:t>
      </w:r>
    </w:p>
    <w:p>
      <w:pPr>
        <w:spacing w:after="0" w:line="7135" w:lineRule="exact"/>
        <w:rPr>
          <w:sz w:val="20"/>
          <w:szCs w:val="20"/>
          <w:color w:val="auto"/>
        </w:rPr>
      </w:pPr>
    </w:p>
    <w:p>
      <w:pPr>
        <w:sectPr>
          <w:pgSz w:w="11900" w:h="16838" w:orient="portrait"/>
          <w:cols w:equalWidth="0" w:num="2">
            <w:col w:w="6160" w:space="220"/>
            <w:col w:w="3499"/>
          </w:cols>
          <w:pgMar w:left="580" w:top="97" w:right="1440" w:bottom="1440" w:gutter="0" w:footer="0" w:header="0"/>
          <w:type w:val="continuous"/>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 ​</w:t>
            </w:r>
          </w:p>
        </w:tc>
        <w:tc>
          <w:tcPr>
            <w:tcW w:w="23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77"/>
        </w:trPr>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23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meetings,</w:t>
            </w:r>
          </w:p>
        </w:tc>
        <w:tc>
          <w:tcPr>
            <w:tcW w:w="2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convened  for  that  purpose.</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bl>
    <w:p>
      <w:pPr>
        <w:ind w:left="3080"/>
        <w:spacing w:after="0" w:line="236" w:lineRule="auto"/>
        <w:rPr>
          <w:sz w:val="20"/>
          <w:szCs w:val="20"/>
          <w:color w:val="auto"/>
        </w:rPr>
      </w:pPr>
      <w:r>
        <w:rPr>
          <w:rFonts w:ascii="Times New Roman" w:cs="Times New Roman" w:eastAsia="Times New Roman" w:hAnsi="Times New Roman"/>
          <w:sz w:val="18"/>
          <w:szCs w:val="18"/>
          <w:color w:val="auto"/>
        </w:rPr>
        <w:t>The  convening  of  the  meetings  and</w:t>
      </w:r>
    </w:p>
    <w:p>
      <w:pPr>
        <w:ind w:left="3080"/>
        <w:spacing w:after="0" w:line="235" w:lineRule="auto"/>
        <w:rPr>
          <w:sz w:val="20"/>
          <w:szCs w:val="20"/>
          <w:color w:val="auto"/>
        </w:rPr>
      </w:pPr>
      <w:r>
        <w:rPr>
          <w:rFonts w:ascii="Times New Roman" w:cs="Times New Roman" w:eastAsia="Times New Roman" w:hAnsi="Times New Roman"/>
          <w:sz w:val="18"/>
          <w:szCs w:val="18"/>
          <w:color w:val="auto"/>
        </w:rPr>
        <w:t>subsequently the arrangement must be</w:t>
      </w:r>
    </w:p>
    <w:p>
      <w:pPr>
        <w:ind w:left="3080"/>
        <w:spacing w:after="0"/>
        <w:rPr>
          <w:sz w:val="20"/>
          <w:szCs w:val="20"/>
          <w:color w:val="auto"/>
        </w:rPr>
      </w:pPr>
      <w:r>
        <w:rPr>
          <w:rFonts w:ascii="Times New Roman" w:cs="Times New Roman" w:eastAsia="Times New Roman" w:hAnsi="Times New Roman"/>
          <w:sz w:val="18"/>
          <w:szCs w:val="18"/>
          <w:color w:val="auto"/>
        </w:rPr>
        <w:t>sanctioned by the Grand Court of the</w:t>
      </w:r>
    </w:p>
    <w:p>
      <w:pPr>
        <w:spacing w:after="0" w:line="5" w:lineRule="exact"/>
        <w:rPr>
          <w:sz w:val="20"/>
          <w:szCs w:val="20"/>
          <w:color w:val="auto"/>
        </w:rPr>
      </w:pPr>
    </w:p>
    <w:p>
      <w:pPr>
        <w:ind w:left="3080"/>
        <w:spacing w:after="0"/>
        <w:tabs>
          <w:tab w:leader="none" w:pos="3820" w:val="left"/>
          <w:tab w:leader="none" w:pos="4540" w:val="left"/>
          <w:tab w:leader="none" w:pos="5140" w:val="left"/>
          <w:tab w:leader="none" w:pos="5360" w:val="left"/>
        </w:tabs>
        <w:rPr>
          <w:sz w:val="20"/>
          <w:szCs w:val="20"/>
          <w:color w:val="auto"/>
        </w:rPr>
      </w:pPr>
      <w:r>
        <w:rPr>
          <w:rFonts w:ascii="Times New Roman" w:cs="Times New Roman" w:eastAsia="Times New Roman" w:hAnsi="Times New Roman"/>
          <w:sz w:val="18"/>
          <w:szCs w:val="18"/>
          <w:color w:val="auto"/>
        </w:rPr>
        <w:t>Cayman</w:t>
        <w:tab/>
        <w:t>Islands.</w:t>
        <w:tab/>
        <w:t>While</w:t>
        <w:tab/>
        <w:t>a</w:t>
        <w:tab/>
        <w:t>dissenting</w:t>
      </w:r>
    </w:p>
    <w:p>
      <w:pPr>
        <w:ind w:left="3080"/>
        <w:spacing w:after="0" w:line="234" w:lineRule="auto"/>
        <w:rPr>
          <w:sz w:val="20"/>
          <w:szCs w:val="20"/>
          <w:color w:val="auto"/>
        </w:rPr>
      </w:pPr>
      <w:r>
        <w:rPr>
          <w:rFonts w:ascii="Times New Roman" w:cs="Times New Roman" w:eastAsia="Times New Roman" w:hAnsi="Times New Roman"/>
          <w:sz w:val="18"/>
          <w:szCs w:val="18"/>
          <w:color w:val="auto"/>
        </w:rPr>
        <w:t>shareholder has the right to express to</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the court the view that the transaction</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ought not to be approved, the court can</w:t>
      </w:r>
    </w:p>
    <w:p>
      <w:pPr>
        <w:ind w:left="3080"/>
        <w:spacing w:after="0" w:line="234" w:lineRule="auto"/>
        <w:rPr>
          <w:sz w:val="20"/>
          <w:szCs w:val="20"/>
          <w:color w:val="auto"/>
        </w:rPr>
      </w:pPr>
      <w:r>
        <w:rPr>
          <w:rFonts w:ascii="Times New Roman" w:cs="Times New Roman" w:eastAsia="Times New Roman" w:hAnsi="Times New Roman"/>
          <w:sz w:val="18"/>
          <w:szCs w:val="18"/>
          <w:color w:val="auto"/>
        </w:rPr>
        <w:t>be expected to approve the arrangement</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if it determines that:</w:t>
      </w:r>
    </w:p>
    <w:p>
      <w:pPr>
        <w:spacing w:after="0" w:line="124" w:lineRule="exact"/>
        <w:rPr>
          <w:sz w:val="20"/>
          <w:szCs w:val="20"/>
          <w:color w:val="auto"/>
        </w:rPr>
      </w:pPr>
    </w:p>
    <w:p>
      <w:pPr>
        <w:jc w:val="both"/>
        <w:ind w:left="3220" w:right="760" w:hanging="137"/>
        <w:spacing w:after="0" w:line="266" w:lineRule="auto"/>
        <w:tabs>
          <w:tab w:leader="none" w:pos="3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81" w:lineRule="exact"/>
        <w:rPr>
          <w:rFonts w:ascii="Times New Roman" w:cs="Times New Roman" w:eastAsia="Times New Roman" w:hAnsi="Times New Roman"/>
          <w:sz w:val="18"/>
          <w:szCs w:val="18"/>
          <w:color w:val="auto"/>
        </w:rPr>
      </w:pPr>
    </w:p>
    <w:p>
      <w:pPr>
        <w:jc w:val="both"/>
        <w:ind w:left="3220" w:right="760" w:hanging="137"/>
        <w:spacing w:after="0" w:line="247" w:lineRule="auto"/>
        <w:tabs>
          <w:tab w:leader="none" w:pos="3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98" w:lineRule="exact"/>
        <w:rPr>
          <w:rFonts w:ascii="Times New Roman" w:cs="Times New Roman" w:eastAsia="Times New Roman" w:hAnsi="Times New Roman"/>
          <w:sz w:val="18"/>
          <w:szCs w:val="18"/>
          <w:color w:val="auto"/>
        </w:rPr>
      </w:pPr>
    </w:p>
    <w:p>
      <w:pPr>
        <w:jc w:val="both"/>
        <w:ind w:left="3220" w:right="760" w:hanging="137"/>
        <w:spacing w:after="0" w:line="250" w:lineRule="auto"/>
        <w:tabs>
          <w:tab w:leader="none" w:pos="3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09" w:lineRule="exact"/>
        <w:rPr>
          <w:rFonts w:ascii="Times New Roman" w:cs="Times New Roman" w:eastAsia="Times New Roman" w:hAnsi="Times New Roman"/>
          <w:sz w:val="18"/>
          <w:szCs w:val="18"/>
          <w:color w:val="auto"/>
        </w:rPr>
      </w:pPr>
    </w:p>
    <w:p>
      <w:pPr>
        <w:jc w:val="both"/>
        <w:ind w:left="3220" w:right="760" w:hanging="137"/>
        <w:spacing w:after="0" w:line="250" w:lineRule="auto"/>
        <w:tabs>
          <w:tab w:leader="none" w:pos="3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(As Revised).</w:t>
      </w:r>
    </w:p>
    <w:p>
      <w:pPr>
        <w:spacing w:after="0" w:line="9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The Companies Act (As Revised) also</w:t>
      </w:r>
    </w:p>
    <w:p>
      <w:pPr>
        <w:spacing w:after="0" w:line="16" w:lineRule="exact"/>
        <w:rPr>
          <w:sz w:val="20"/>
          <w:szCs w:val="20"/>
          <w:color w:val="auto"/>
        </w:rPr>
      </w:pPr>
    </w:p>
    <w:p>
      <w:pPr>
        <w:ind w:left="3080"/>
        <w:spacing w:after="0"/>
        <w:tabs>
          <w:tab w:leader="none" w:pos="3960" w:val="left"/>
          <w:tab w:leader="none" w:pos="4320" w:val="left"/>
          <w:tab w:leader="none" w:pos="5240" w:val="left"/>
          <w:tab w:leader="none" w:pos="5980" w:val="left"/>
        </w:tabs>
        <w:rPr>
          <w:sz w:val="20"/>
          <w:szCs w:val="20"/>
          <w:color w:val="auto"/>
        </w:rPr>
      </w:pPr>
      <w:r>
        <w:rPr>
          <w:rFonts w:ascii="Times New Roman" w:cs="Times New Roman" w:eastAsia="Times New Roman" w:hAnsi="Times New Roman"/>
          <w:sz w:val="18"/>
          <w:szCs w:val="18"/>
          <w:color w:val="auto"/>
        </w:rPr>
        <w:t>contains</w:t>
        <w:tab/>
        <w:t>a</w:t>
        <w:tab/>
        <w:t>statutory</w:t>
        <w:tab/>
        <w:t>power</w:t>
      </w:r>
      <w:r>
        <w:rPr>
          <w:sz w:val="20"/>
          <w:szCs w:val="20"/>
          <w:color w:val="auto"/>
        </w:rPr>
        <w:tab/>
      </w:r>
      <w:r>
        <w:rPr>
          <w:rFonts w:ascii="Times New Roman" w:cs="Times New Roman" w:eastAsia="Times New Roman" w:hAnsi="Times New Roman"/>
          <w:sz w:val="16"/>
          <w:szCs w:val="16"/>
          <w:color w:val="auto"/>
        </w:rPr>
        <w:t>of</w:t>
      </w:r>
    </w:p>
    <w:p>
      <w:pPr>
        <w:spacing w:after="0" w:line="5" w:lineRule="exact"/>
        <w:rPr>
          <w:sz w:val="20"/>
          <w:szCs w:val="20"/>
          <w:color w:val="auto"/>
        </w:rPr>
      </w:pPr>
    </w:p>
    <w:p>
      <w:pPr>
        <w:ind w:left="3080"/>
        <w:spacing w:after="0"/>
        <w:tabs>
          <w:tab w:leader="none" w:pos="4140" w:val="left"/>
          <w:tab w:leader="none" w:pos="5160" w:val="left"/>
          <w:tab w:leader="none" w:pos="5820" w:val="left"/>
        </w:tabs>
        <w:rPr>
          <w:sz w:val="20"/>
          <w:szCs w:val="20"/>
          <w:color w:val="auto"/>
        </w:rPr>
      </w:pPr>
      <w:r>
        <w:rPr>
          <w:rFonts w:ascii="Times New Roman" w:cs="Times New Roman" w:eastAsia="Times New Roman" w:hAnsi="Times New Roman"/>
          <w:sz w:val="18"/>
          <w:szCs w:val="18"/>
          <w:color w:val="auto"/>
        </w:rPr>
        <w:t>compulsory</w:t>
        <w:tab/>
        <w:t>acquisition</w:t>
        <w:tab/>
        <w:t>which</w:t>
        <w:tab/>
        <w:t>may</w:t>
      </w:r>
    </w:p>
    <w:p>
      <w:pPr>
        <w:ind w:left="3080"/>
        <w:spacing w:after="0" w:line="234" w:lineRule="auto"/>
        <w:tabs>
          <w:tab w:leader="none" w:pos="3980" w:val="left"/>
          <w:tab w:leader="none" w:pos="4460" w:val="left"/>
          <w:tab w:leader="none" w:pos="5400" w:val="left"/>
          <w:tab w:leader="none" w:pos="5980" w:val="left"/>
        </w:tabs>
        <w:rPr>
          <w:sz w:val="20"/>
          <w:szCs w:val="20"/>
          <w:color w:val="auto"/>
        </w:rPr>
      </w:pPr>
      <w:r>
        <w:rPr>
          <w:rFonts w:ascii="Times New Roman" w:cs="Times New Roman" w:eastAsia="Times New Roman" w:hAnsi="Times New Roman"/>
          <w:sz w:val="18"/>
          <w:szCs w:val="18"/>
          <w:color w:val="auto"/>
        </w:rPr>
        <w:t>facilitate</w:t>
        <w:tab/>
        <w:t>the</w:t>
        <w:tab/>
        <w:t>“squeeze</w:t>
        <w:tab/>
        <w:t>out”</w:t>
        <w:tab/>
        <w:t>of</w:t>
      </w:r>
    </w:p>
    <w:p>
      <w:pPr>
        <w:ind w:left="3080"/>
        <w:spacing w:after="0" w:line="235" w:lineRule="auto"/>
        <w:rPr>
          <w:sz w:val="20"/>
          <w:szCs w:val="20"/>
          <w:color w:val="auto"/>
        </w:rPr>
      </w:pPr>
      <w:r>
        <w:rPr>
          <w:rFonts w:ascii="Times New Roman" w:cs="Times New Roman" w:eastAsia="Times New Roman" w:hAnsi="Times New Roman"/>
          <w:sz w:val="18"/>
          <w:szCs w:val="18"/>
          <w:color w:val="auto"/>
        </w:rPr>
        <w:t>dissentient minority shareholders upon a</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tender  offer.  When  a  tender  offer  is</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made and accepted by holders of 90.0%</w:t>
      </w:r>
    </w:p>
    <w:p>
      <w:pPr>
        <w:ind w:left="3080"/>
        <w:spacing w:after="0" w:line="234" w:lineRule="auto"/>
        <w:tabs>
          <w:tab w:leader="none" w:pos="3500" w:val="left"/>
          <w:tab w:leader="none" w:pos="4020" w:val="left"/>
          <w:tab w:leader="none" w:pos="4760" w:val="left"/>
          <w:tab w:leader="none" w:pos="5660" w:val="left"/>
        </w:tabs>
        <w:rPr>
          <w:sz w:val="20"/>
          <w:szCs w:val="20"/>
          <w:color w:val="auto"/>
        </w:rPr>
      </w:pPr>
      <w:r>
        <w:rPr>
          <w:rFonts w:ascii="Times New Roman" w:cs="Times New Roman" w:eastAsia="Times New Roman" w:hAnsi="Times New Roman"/>
          <w:sz w:val="18"/>
          <w:szCs w:val="18"/>
          <w:color w:val="auto"/>
        </w:rPr>
        <w:t>of</w:t>
        <w:tab/>
        <w:t>the</w:t>
      </w:r>
      <w:r>
        <w:rPr>
          <w:sz w:val="20"/>
          <w:szCs w:val="20"/>
          <w:color w:val="auto"/>
        </w:rPr>
        <w:tab/>
      </w:r>
      <w:r>
        <w:rPr>
          <w:rFonts w:ascii="Times New Roman" w:cs="Times New Roman" w:eastAsia="Times New Roman" w:hAnsi="Times New Roman"/>
          <w:sz w:val="18"/>
          <w:szCs w:val="18"/>
          <w:color w:val="auto"/>
        </w:rPr>
        <w:t>shares</w:t>
        <w:tab/>
        <w:t>affected</w:t>
      </w:r>
      <w:r>
        <w:rPr>
          <w:sz w:val="20"/>
          <w:szCs w:val="20"/>
          <w:color w:val="auto"/>
        </w:rPr>
        <w:tab/>
      </w:r>
      <w:r>
        <w:rPr>
          <w:rFonts w:ascii="Times New Roman" w:cs="Times New Roman" w:eastAsia="Times New Roman" w:hAnsi="Times New Roman"/>
          <w:sz w:val="18"/>
          <w:szCs w:val="18"/>
          <w:color w:val="auto"/>
        </w:rPr>
        <w:t>within</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four months, the offeror may, within a</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two-month period commencing on the</w:t>
      </w:r>
    </w:p>
    <w:p>
      <w:pPr>
        <w:ind w:left="3080"/>
        <w:spacing w:after="0" w:line="234" w:lineRule="auto"/>
        <w:rPr>
          <w:sz w:val="20"/>
          <w:szCs w:val="20"/>
          <w:color w:val="auto"/>
        </w:rPr>
      </w:pPr>
      <w:r>
        <w:rPr>
          <w:rFonts w:ascii="Times New Roman" w:cs="Times New Roman" w:eastAsia="Times New Roman" w:hAnsi="Times New Roman"/>
          <w:sz w:val="18"/>
          <w:szCs w:val="18"/>
          <w:color w:val="auto"/>
        </w:rPr>
        <w:t>expiration of such four-month period,</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require  the  holders  of  the  remaining</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shares to transfer such shares to the</w:t>
      </w:r>
    </w:p>
    <w:p>
      <w:pPr>
        <w:ind w:left="3080"/>
        <w:spacing w:after="0" w:line="234" w:lineRule="auto"/>
        <w:rPr>
          <w:sz w:val="20"/>
          <w:szCs w:val="20"/>
          <w:color w:val="auto"/>
        </w:rPr>
      </w:pPr>
      <w:r>
        <w:rPr>
          <w:rFonts w:ascii="Times New Roman" w:cs="Times New Roman" w:eastAsia="Times New Roman" w:hAnsi="Times New Roman"/>
          <w:sz w:val="18"/>
          <w:szCs w:val="18"/>
          <w:color w:val="auto"/>
        </w:rPr>
        <w:t>offeror on the terms of the offer. An</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objection can be made to the Grand</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Court of the Cayman Islands but this is</w:t>
      </w:r>
    </w:p>
    <w:p>
      <w:pPr>
        <w:ind w:left="3080"/>
        <w:spacing w:after="0" w:line="234" w:lineRule="auto"/>
        <w:rPr>
          <w:sz w:val="20"/>
          <w:szCs w:val="20"/>
          <w:color w:val="auto"/>
        </w:rPr>
      </w:pPr>
      <w:r>
        <w:rPr>
          <w:rFonts w:ascii="Times New Roman" w:cs="Times New Roman" w:eastAsia="Times New Roman" w:hAnsi="Times New Roman"/>
          <w:sz w:val="18"/>
          <w:szCs w:val="18"/>
          <w:color w:val="auto"/>
        </w:rPr>
        <w:t>unlikely to succeed in the case of an</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offer which has been so approved unless</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there is evidence of fraud, bad faith or</w:t>
      </w:r>
    </w:p>
    <w:p>
      <w:pPr>
        <w:ind w:left="3080"/>
        <w:spacing w:after="0"/>
        <w:rPr>
          <w:sz w:val="20"/>
          <w:szCs w:val="20"/>
          <w:color w:val="auto"/>
        </w:rPr>
      </w:pPr>
      <w:r>
        <w:rPr>
          <w:rFonts w:ascii="Times New Roman" w:cs="Times New Roman" w:eastAsia="Times New Roman" w:hAnsi="Times New Roman"/>
          <w:sz w:val="18"/>
          <w:szCs w:val="18"/>
          <w:color w:val="auto"/>
        </w:rPr>
        <w:t>collusion.</w:t>
      </w:r>
    </w:p>
    <w:p>
      <w:pPr>
        <w:spacing w:after="0" w:line="11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If an arrangement and reconstruction by</w:t>
      </w:r>
    </w:p>
    <w:p>
      <w:pPr>
        <w:spacing w:after="0" w:line="2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way of scheme of arrangement is thus</w:t>
      </w:r>
    </w:p>
    <w:p>
      <w:pPr>
        <w:ind w:left="3080"/>
        <w:spacing w:after="0" w:line="234" w:lineRule="auto"/>
        <w:rPr>
          <w:sz w:val="20"/>
          <w:szCs w:val="20"/>
          <w:color w:val="auto"/>
        </w:rPr>
      </w:pPr>
      <w:r>
        <w:rPr>
          <w:rFonts w:ascii="Times New Roman" w:cs="Times New Roman" w:eastAsia="Times New Roman" w:hAnsi="Times New Roman"/>
          <w:sz w:val="18"/>
          <w:szCs w:val="18"/>
          <w:color w:val="auto"/>
        </w:rPr>
        <w:t>approved and sanctioned, or if a tender</w:t>
      </w:r>
    </w:p>
    <w:p>
      <w:pPr>
        <w:spacing w:after="0" w:line="1" w:lineRule="exact"/>
        <w:rPr>
          <w:sz w:val="20"/>
          <w:szCs w:val="20"/>
          <w:color w:val="auto"/>
        </w:rPr>
      </w:pPr>
    </w:p>
    <w:p>
      <w:pPr>
        <w:ind w:left="3080"/>
        <w:spacing w:after="0"/>
        <w:tabs>
          <w:tab w:leader="none" w:pos="3640" w:val="left"/>
          <w:tab w:leader="none" w:pos="4000" w:val="left"/>
          <w:tab w:leader="none" w:pos="4620" w:val="left"/>
          <w:tab w:leader="none" w:pos="5100" w:val="left"/>
          <w:tab w:leader="none" w:pos="5980" w:val="left"/>
        </w:tabs>
        <w:rPr>
          <w:sz w:val="20"/>
          <w:szCs w:val="20"/>
          <w:color w:val="auto"/>
        </w:rPr>
      </w:pPr>
      <w:r>
        <w:rPr>
          <w:rFonts w:ascii="Times New Roman" w:cs="Times New Roman" w:eastAsia="Times New Roman" w:hAnsi="Times New Roman"/>
          <w:sz w:val="18"/>
          <w:szCs w:val="18"/>
          <w:color w:val="auto"/>
        </w:rPr>
        <w:t>offer</w:t>
        <w:tab/>
        <w:t>is</w:t>
        <w:tab/>
        <w:t>made</w:t>
        <w:tab/>
        <w:t>and</w:t>
        <w:tab/>
        <w:t>accepted</w:t>
      </w:r>
      <w:r>
        <w:rPr>
          <w:sz w:val="20"/>
          <w:szCs w:val="20"/>
          <w:color w:val="auto"/>
        </w:rPr>
        <w:tab/>
      </w:r>
      <w:r>
        <w:rPr>
          <w:rFonts w:ascii="Times New Roman" w:cs="Times New Roman" w:eastAsia="Times New Roman" w:hAnsi="Times New Roman"/>
          <w:sz w:val="17"/>
          <w:szCs w:val="17"/>
          <w:color w:val="auto"/>
        </w:rPr>
        <w:t>in</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accordance with the foregoing statutory</w:t>
      </w:r>
    </w:p>
    <w:p>
      <w:pPr>
        <w:ind w:left="3080"/>
        <w:spacing w:after="0" w:line="234" w:lineRule="auto"/>
        <w:tabs>
          <w:tab w:leader="none" w:pos="4100" w:val="left"/>
          <w:tab w:leader="none" w:pos="4340" w:val="left"/>
          <w:tab w:leader="none" w:pos="5260" w:val="left"/>
        </w:tabs>
        <w:rPr>
          <w:sz w:val="20"/>
          <w:szCs w:val="20"/>
          <w:color w:val="auto"/>
        </w:rPr>
      </w:pPr>
      <w:r>
        <w:rPr>
          <w:rFonts w:ascii="Times New Roman" w:cs="Times New Roman" w:eastAsia="Times New Roman" w:hAnsi="Times New Roman"/>
          <w:sz w:val="18"/>
          <w:szCs w:val="18"/>
          <w:color w:val="auto"/>
        </w:rPr>
        <w:t>procedures,</w:t>
        <w:tab/>
        <w:t>a</w:t>
        <w:tab/>
        <w:t>dissenting</w:t>
        <w:tab/>
        <w:t>shareholder</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would  have  no  rights  comparable  to</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appraisal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29210</wp:posOffset>
            </wp:positionV>
            <wp:extent cx="19545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9"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color w:val="auto"/>
        </w:rPr>
        <w:t>​</w:t>
      </w:r>
    </w:p>
    <w:p>
      <w:pPr>
        <w:spacing w:after="0" w:line="12062" w:lineRule="exact"/>
        <w:rPr>
          <w:sz w:val="20"/>
          <w:szCs w:val="20"/>
          <w:color w:val="auto"/>
        </w:rPr>
      </w:pPr>
    </w:p>
    <w:p>
      <w:pPr>
        <w:sectPr>
          <w:pgSz w:w="11900" w:h="16838" w:orient="portrait"/>
          <w:cols w:equalWidth="0" w:num="2">
            <w:col w:w="6920" w:space="720"/>
            <w:col w:w="2239"/>
          </w:cols>
          <w:pgMar w:left="580" w:top="97" w:right="1440" w:bottom="1440" w:gutter="0" w:footer="0" w:header="0"/>
        </w:sectPr>
      </w:pPr>
    </w:p>
    <w:p>
      <w:pPr>
        <w:spacing w:after="0" w:line="2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46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20" w:type="dxa"/>
            <w:vAlign w:val="bottom"/>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7"/>
        </w:trPr>
        <w:tc>
          <w:tcPr>
            <w:tcW w:w="4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0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2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which  would</w:t>
            </w:r>
          </w:p>
        </w:tc>
        <w:tc>
          <w:tcPr>
            <w:tcW w:w="20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otherwise  ordinarily  be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available to dissenting shareholders of</w:t>
            </w: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Delaware corporations, providing rights</w:t>
            </w: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receive  payment  in  cash  for  the</w:t>
            </w: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judicially  determined  value  of  the</w:t>
            </w: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520" w:type="dxa"/>
            <w:vAlign w:val="bottom"/>
            <w:gridSpan w:val="2"/>
          </w:tcPr>
          <w:p>
            <w:pPr>
              <w:spacing w:after="0" w:line="31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i w:val="1"/>
                <w:iCs w:val="1"/>
                <w:color w:val="auto"/>
              </w:rPr>
              <w:t>Shareholders’ Suits</w:t>
            </w:r>
          </w:p>
        </w:tc>
        <w:tc>
          <w:tcPr>
            <w:tcW w:w="1360" w:type="dxa"/>
            <w:vAlign w:val="bottom"/>
            <w:gridSpan w:val="2"/>
          </w:tcPr>
          <w:p>
            <w:pPr>
              <w:ind w:left="80"/>
              <w:spacing w:after="0" w:line="319"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In principle,</w:t>
            </w:r>
          </w:p>
        </w:tc>
        <w:tc>
          <w:tcPr>
            <w:tcW w:w="4700" w:type="dxa"/>
            <w:vAlign w:val="bottom"/>
            <w:gridSpan w:val="3"/>
          </w:tcPr>
          <w:p>
            <w:pPr>
              <w:ind w:left="20"/>
              <w:spacing w:after="0" w:line="319" w:lineRule="exact"/>
              <w:rPr>
                <w:sz w:val="20"/>
                <w:szCs w:val="20"/>
                <w:color w:val="auto"/>
              </w:rPr>
            </w:pPr>
            <w:r>
              <w:rPr>
                <w:rFonts w:ascii="Times New Roman" w:cs="Times New Roman" w:eastAsia="Times New Roman" w:hAnsi="Times New Roman"/>
                <w:sz w:val="18"/>
                <w:szCs w:val="18"/>
                <w:color w:val="auto"/>
              </w:rPr>
              <w:t>we will normally be the</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Class  actions  and  derivative</w:t>
            </w:r>
          </w:p>
        </w:tc>
        <w:tc>
          <w:tcPr>
            <w:tcW w:w="660" w:type="dxa"/>
            <w:vAlign w:val="bottom"/>
            <w:gridSpan w:val="2"/>
          </w:tcPr>
          <w:p>
            <w:pPr>
              <w:jc w:val="right"/>
              <w:spacing w:after="0" w:line="319" w:lineRule="exact"/>
              <w:rPr>
                <w:sz w:val="20"/>
                <w:szCs w:val="20"/>
                <w:color w:val="auto"/>
              </w:rPr>
            </w:pPr>
            <w:r>
              <w:rPr>
                <w:rFonts w:ascii="Times New Roman" w:cs="Times New Roman" w:eastAsia="Times New Roman" w:hAnsi="Times New Roman"/>
                <w:sz w:val="18"/>
                <w:szCs w:val="18"/>
                <w:color w:val="auto"/>
              </w:rPr>
              <w:t>actions</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proper plaintiff to sue for a wrong done</w:t>
            </w:r>
          </w:p>
        </w:tc>
        <w:tc>
          <w:tcPr>
            <w:tcW w:w="220" w:type="dxa"/>
            <w:vAlign w:val="bottom"/>
          </w:tcPr>
          <w:p>
            <w:pPr>
              <w:spacing w:after="0"/>
              <w:rPr>
                <w:sz w:val="17"/>
                <w:szCs w:val="17"/>
                <w:color w:val="auto"/>
              </w:rPr>
            </w:pPr>
          </w:p>
        </w:tc>
        <w:tc>
          <w:tcPr>
            <w:tcW w:w="31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generally are available to stockholders</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to us as a company, and as a general rule</w:t>
            </w:r>
          </w:p>
        </w:tc>
        <w:tc>
          <w:tcPr>
            <w:tcW w:w="220" w:type="dxa"/>
            <w:vAlign w:val="bottom"/>
          </w:tcPr>
          <w:p>
            <w:pPr>
              <w:spacing w:after="0"/>
              <w:rPr>
                <w:sz w:val="17"/>
                <w:szCs w:val="17"/>
                <w:color w:val="auto"/>
              </w:rPr>
            </w:pPr>
          </w:p>
        </w:tc>
        <w:tc>
          <w:tcPr>
            <w:tcW w:w="31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under Delaware law for, among other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derivative action may not be brought</w:t>
            </w:r>
          </w:p>
        </w:tc>
        <w:tc>
          <w:tcPr>
            <w:tcW w:w="2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things,   breach   of   fiduciary   duty,</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by  a  minority  shareholder.  However,</w:t>
            </w:r>
          </w:p>
        </w:tc>
        <w:tc>
          <w:tcPr>
            <w:tcW w:w="220" w:type="dxa"/>
            <w:vAlign w:val="bottom"/>
          </w:tcPr>
          <w:p>
            <w:pPr>
              <w:spacing w:after="0"/>
              <w:rPr>
                <w:sz w:val="17"/>
                <w:szCs w:val="17"/>
                <w:color w:val="auto"/>
              </w:rPr>
            </w:pPr>
          </w:p>
        </w:tc>
        <w:tc>
          <w:tcPr>
            <w:tcW w:w="31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corporate waste and actions not taken in</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based  on  English  authorities,  which</w:t>
            </w:r>
          </w:p>
        </w:tc>
        <w:tc>
          <w:tcPr>
            <w:tcW w:w="220" w:type="dxa"/>
            <w:vAlign w:val="bottom"/>
          </w:tcPr>
          <w:p>
            <w:pPr>
              <w:spacing w:after="0"/>
              <w:rPr>
                <w:sz w:val="17"/>
                <w:szCs w:val="17"/>
                <w:color w:val="auto"/>
              </w:rPr>
            </w:pPr>
          </w:p>
        </w:tc>
        <w:tc>
          <w:tcPr>
            <w:tcW w:w="31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accordance with applicable law. In such</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would in all likelihood be of persuasive</w:t>
            </w:r>
          </w:p>
        </w:tc>
        <w:tc>
          <w:tcPr>
            <w:tcW w:w="2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actions,   the   court   generally   has</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authority  in  the  Cayman  Islands,  the</w:t>
            </w:r>
          </w:p>
        </w:tc>
        <w:tc>
          <w:tcPr>
            <w:tcW w:w="220" w:type="dxa"/>
            <w:vAlign w:val="bottom"/>
          </w:tcPr>
          <w:p>
            <w:pPr>
              <w:spacing w:after="0"/>
              <w:rPr>
                <w:sz w:val="17"/>
                <w:szCs w:val="17"/>
                <w:color w:val="auto"/>
              </w:rPr>
            </w:pPr>
          </w:p>
        </w:tc>
        <w:tc>
          <w:tcPr>
            <w:tcW w:w="31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discretion to permit a winning plaintiff</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Cayman Islands court can be expected</w:t>
            </w:r>
          </w:p>
        </w:tc>
        <w:tc>
          <w:tcPr>
            <w:tcW w:w="220" w:type="dxa"/>
            <w:vAlign w:val="bottom"/>
          </w:tcPr>
          <w:p>
            <w:pPr>
              <w:spacing w:after="0"/>
              <w:rPr>
                <w:sz w:val="17"/>
                <w:szCs w:val="17"/>
                <w:color w:val="auto"/>
              </w:rPr>
            </w:pPr>
          </w:p>
        </w:tc>
        <w:tc>
          <w:tcPr>
            <w:tcW w:w="31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to recover attorneys’ fees incurred in</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follow and apply the common law</w:t>
            </w:r>
          </w:p>
        </w:tc>
        <w:tc>
          <w:tcPr>
            <w:tcW w:w="2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 such action.</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principles (namely the rule in Foss v.</w:t>
            </w: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Harbottle and the exceptions thereto) so</w:t>
            </w: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that a non-controlling shareholder may</w:t>
            </w: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080"/>
        <w:spacing w:after="0" w:line="236" w:lineRule="auto"/>
        <w:rPr>
          <w:sz w:val="20"/>
          <w:szCs w:val="20"/>
          <w:color w:val="auto"/>
        </w:rPr>
      </w:pPr>
      <w:r>
        <w:rPr>
          <w:rFonts w:ascii="Times New Roman" w:cs="Times New Roman" w:eastAsia="Times New Roman" w:hAnsi="Times New Roman"/>
          <w:sz w:val="18"/>
          <w:szCs w:val="18"/>
          <w:color w:val="auto"/>
        </w:rPr>
        <w:t>be permitted to commence a class action</w:t>
      </w:r>
    </w:p>
    <w:p>
      <w:pPr>
        <w:ind w:left="3080"/>
        <w:spacing w:after="0" w:line="235" w:lineRule="auto"/>
        <w:rPr>
          <w:sz w:val="20"/>
          <w:szCs w:val="20"/>
          <w:color w:val="auto"/>
        </w:rPr>
      </w:pPr>
      <w:r>
        <w:rPr>
          <w:rFonts w:ascii="Times New Roman" w:cs="Times New Roman" w:eastAsia="Times New Roman" w:hAnsi="Times New Roman"/>
          <w:sz w:val="18"/>
          <w:szCs w:val="18"/>
          <w:color w:val="auto"/>
        </w:rPr>
        <w:t>against or derivative actions in the name</w:t>
      </w:r>
    </w:p>
    <w:p>
      <w:pPr>
        <w:ind w:left="3080"/>
        <w:spacing w:after="0"/>
        <w:rPr>
          <w:sz w:val="20"/>
          <w:szCs w:val="20"/>
          <w:color w:val="auto"/>
        </w:rPr>
      </w:pPr>
      <w:r>
        <w:rPr>
          <w:rFonts w:ascii="Times New Roman" w:cs="Times New Roman" w:eastAsia="Times New Roman" w:hAnsi="Times New Roman"/>
          <w:sz w:val="18"/>
          <w:szCs w:val="18"/>
          <w:color w:val="auto"/>
        </w:rPr>
        <w:t>of  the  company  to  challenge  actions</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where:</w:t>
      </w:r>
    </w:p>
    <w:p>
      <w:pPr>
        <w:spacing w:after="0" w:line="112" w:lineRule="exact"/>
        <w:rPr>
          <w:sz w:val="20"/>
          <w:szCs w:val="20"/>
          <w:color w:val="auto"/>
        </w:rPr>
      </w:pPr>
    </w:p>
    <w:p>
      <w:pPr>
        <w:ind w:left="3260" w:right="3719" w:hanging="177"/>
        <w:spacing w:after="0" w:line="266" w:lineRule="auto"/>
        <w:tabs>
          <w:tab w:leader="none" w:pos="3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94" w:lineRule="exact"/>
        <w:rPr>
          <w:rFonts w:ascii="Times New Roman" w:cs="Times New Roman" w:eastAsia="Times New Roman" w:hAnsi="Times New Roman"/>
          <w:sz w:val="18"/>
          <w:szCs w:val="18"/>
          <w:color w:val="auto"/>
        </w:rPr>
      </w:pPr>
    </w:p>
    <w:p>
      <w:pPr>
        <w:jc w:val="both"/>
        <w:ind w:left="3260" w:right="3719" w:hanging="177"/>
        <w:spacing w:after="0" w:line="246" w:lineRule="auto"/>
        <w:tabs>
          <w:tab w:leader="none" w:pos="3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00" w:lineRule="exact"/>
        <w:rPr>
          <w:rFonts w:ascii="Times New Roman" w:cs="Times New Roman" w:eastAsia="Times New Roman" w:hAnsi="Times New Roman"/>
          <w:sz w:val="18"/>
          <w:szCs w:val="18"/>
          <w:color w:val="auto"/>
        </w:rPr>
      </w:pPr>
    </w:p>
    <w:p>
      <w:pPr>
        <w:jc w:val="both"/>
        <w:ind w:left="3260" w:right="3739" w:hanging="177"/>
        <w:spacing w:after="0" w:line="264" w:lineRule="auto"/>
        <w:tabs>
          <w:tab w:leader="none" w:pos="3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402"/>
        </w:trPr>
        <w:tc>
          <w:tcPr>
            <w:tcW w:w="156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i w:val="1"/>
                <w:iCs w:val="1"/>
                <w:color w:val="auto"/>
              </w:rPr>
              <w:t>Indemnification of</w:t>
            </w:r>
          </w:p>
        </w:tc>
        <w:tc>
          <w:tcPr>
            <w:tcW w:w="4940" w:type="dxa"/>
            <w:vAlign w:val="bottom"/>
            <w:gridSpan w:val="9"/>
          </w:tcPr>
          <w:p>
            <w:pPr>
              <w:jc w:val="center"/>
              <w:ind w:right="5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Cayman Islands law does not limit the</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  corporation</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has</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w:t>
            </w:r>
            <w:r>
              <w:rPr>
                <w:rFonts w:ascii="Times New Roman" w:cs="Times New Roman" w:eastAsia="Times New Roman" w:hAnsi="Times New Roman"/>
                <w:sz w:val="35"/>
                <w:szCs w:val="35"/>
                <w:color w:val="auto"/>
                <w:vertAlign w:val="superscript"/>
              </w:rPr>
              <w:t>​</w:t>
            </w:r>
          </w:p>
        </w:tc>
      </w:tr>
      <w:tr>
        <w:trPr>
          <w:trHeight w:val="203"/>
        </w:trPr>
        <w:tc>
          <w:tcPr>
            <w:tcW w:w="15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Directors and</w:t>
            </w:r>
          </w:p>
        </w:tc>
        <w:tc>
          <w:tcPr>
            <w:tcW w:w="88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extent</w:t>
            </w:r>
          </w:p>
        </w:tc>
        <w:tc>
          <w:tcPr>
            <w:tcW w:w="3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to</w:t>
            </w:r>
          </w:p>
        </w:tc>
        <w:tc>
          <w:tcPr>
            <w:tcW w:w="76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which</w:t>
            </w:r>
          </w:p>
        </w:tc>
        <w:tc>
          <w:tcPr>
            <w:tcW w:w="2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a</w:t>
            </w:r>
          </w:p>
        </w:tc>
        <w:tc>
          <w:tcPr>
            <w:tcW w:w="116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company’s</w:t>
            </w:r>
          </w:p>
        </w:tc>
        <w:tc>
          <w:tcPr>
            <w:tcW w:w="9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indemnify</w:t>
            </w:r>
          </w:p>
        </w:tc>
        <w:tc>
          <w:tcPr>
            <w:tcW w:w="580" w:type="dxa"/>
            <w:vAlign w:val="bottom"/>
          </w:tcPr>
          <w:p>
            <w:pPr>
              <w:jc w:val="center"/>
              <w:ind w:left="110"/>
              <w:spacing w:after="0" w:line="202" w:lineRule="exact"/>
              <w:rPr>
                <w:sz w:val="20"/>
                <w:szCs w:val="20"/>
                <w:color w:val="auto"/>
              </w:rPr>
            </w:pPr>
            <w:r>
              <w:rPr>
                <w:rFonts w:ascii="Times New Roman" w:cs="Times New Roman" w:eastAsia="Times New Roman" w:hAnsi="Times New Roman"/>
                <w:sz w:val="18"/>
                <w:szCs w:val="18"/>
                <w:color w:val="auto"/>
                <w:w w:val="99"/>
              </w:rPr>
              <w:t>any</w:t>
            </w:r>
          </w:p>
        </w:tc>
        <w:tc>
          <w:tcPr>
            <w:tcW w:w="860" w:type="dxa"/>
            <w:vAlign w:val="bottom"/>
            <w:gridSpan w:val="2"/>
          </w:tcPr>
          <w:p>
            <w:pPr>
              <w:ind w:left="240"/>
              <w:spacing w:after="0" w:line="202" w:lineRule="exact"/>
              <w:rPr>
                <w:sz w:val="20"/>
                <w:szCs w:val="20"/>
                <w:color w:val="auto"/>
              </w:rPr>
            </w:pPr>
            <w:r>
              <w:rPr>
                <w:rFonts w:ascii="Times New Roman" w:cs="Times New Roman" w:eastAsia="Times New Roman" w:hAnsi="Times New Roman"/>
                <w:sz w:val="18"/>
                <w:szCs w:val="18"/>
                <w:color w:val="auto"/>
                <w:w w:val="99"/>
              </w:rPr>
              <w:t>director,</w:t>
            </w:r>
          </w:p>
        </w:tc>
        <w:tc>
          <w:tcPr>
            <w:tcW w:w="8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officer,</w:t>
            </w:r>
          </w:p>
        </w:tc>
      </w:tr>
      <w:tr>
        <w:trPr>
          <w:trHeight w:val="203"/>
        </w:trPr>
        <w:tc>
          <w:tcPr>
            <w:tcW w:w="15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w w:val="97"/>
              </w:rPr>
              <w:t>Executive Officers</w:t>
            </w:r>
          </w:p>
        </w:tc>
        <w:tc>
          <w:tcPr>
            <w:tcW w:w="3440" w:type="dxa"/>
            <w:vAlign w:val="bottom"/>
            <w:gridSpan w:val="7"/>
          </w:tcPr>
          <w:p>
            <w:pPr>
              <w:ind w:left="260"/>
              <w:spacing w:after="0" w:line="202" w:lineRule="exact"/>
              <w:rPr>
                <w:sz w:val="20"/>
                <w:szCs w:val="20"/>
                <w:color w:val="auto"/>
              </w:rPr>
            </w:pPr>
            <w:r>
              <w:rPr>
                <w:rFonts w:ascii="Times New Roman" w:cs="Times New Roman" w:eastAsia="Times New Roman" w:hAnsi="Times New Roman"/>
                <w:sz w:val="18"/>
                <w:szCs w:val="18"/>
                <w:color w:val="auto"/>
              </w:rPr>
              <w:t>memorandum and articles of association</w:t>
            </w:r>
          </w:p>
        </w:tc>
        <w:tc>
          <w:tcPr>
            <w:tcW w:w="3240" w:type="dxa"/>
            <w:vAlign w:val="bottom"/>
            <w:gridSpan w:val="6"/>
          </w:tcPr>
          <w:p>
            <w:pPr>
              <w:ind w:left="120"/>
              <w:spacing w:after="0" w:line="202" w:lineRule="exact"/>
              <w:rPr>
                <w:sz w:val="20"/>
                <w:szCs w:val="20"/>
                <w:color w:val="auto"/>
              </w:rPr>
            </w:pPr>
            <w:r>
              <w:rPr>
                <w:rFonts w:ascii="Times New Roman" w:cs="Times New Roman" w:eastAsia="Times New Roman" w:hAnsi="Times New Roman"/>
                <w:sz w:val="18"/>
                <w:szCs w:val="18"/>
                <w:color w:val="auto"/>
              </w:rPr>
              <w:t>employee, or agent of the corporation</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and Limitation of</w:t>
            </w:r>
          </w:p>
        </w:tc>
        <w:tc>
          <w:tcPr>
            <w:tcW w:w="34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may  provide  for  indemnification  of</w:t>
            </w:r>
          </w:p>
        </w:tc>
        <w:tc>
          <w:tcPr>
            <w:tcW w:w="32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who was, is or is threatened to be made</w:t>
            </w:r>
          </w:p>
        </w:tc>
      </w:tr>
      <w:tr>
        <w:trPr>
          <w:trHeight w:val="207"/>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Liability</w:t>
            </w:r>
          </w:p>
        </w:tc>
        <w:tc>
          <w:tcPr>
            <w:tcW w:w="34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officers  and  directors,  except  to  the</w:t>
            </w:r>
          </w:p>
        </w:tc>
        <w:tc>
          <w:tcPr>
            <w:tcW w:w="32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a party to an action, suit or proceeding</w:t>
            </w:r>
          </w:p>
        </w:tc>
      </w:tr>
      <w:tr>
        <w:trPr>
          <w:trHeight w:val="203"/>
        </w:trPr>
        <w:tc>
          <w:tcPr>
            <w:tcW w:w="1560" w:type="dxa"/>
            <w:vAlign w:val="bottom"/>
          </w:tcPr>
          <w:p>
            <w:pPr>
              <w:spacing w:after="0"/>
              <w:rPr>
                <w:sz w:val="17"/>
                <w:szCs w:val="17"/>
                <w:color w:val="auto"/>
              </w:rPr>
            </w:pPr>
          </w:p>
        </w:tc>
        <w:tc>
          <w:tcPr>
            <w:tcW w:w="3440" w:type="dxa"/>
            <w:vAlign w:val="bottom"/>
            <w:gridSpan w:val="7"/>
          </w:tcPr>
          <w:p>
            <w:pPr>
              <w:ind w:left="260"/>
              <w:spacing w:after="0" w:line="202" w:lineRule="exact"/>
              <w:rPr>
                <w:sz w:val="20"/>
                <w:szCs w:val="20"/>
                <w:color w:val="auto"/>
              </w:rPr>
            </w:pPr>
            <w:r>
              <w:rPr>
                <w:rFonts w:ascii="Times New Roman" w:cs="Times New Roman" w:eastAsia="Times New Roman" w:hAnsi="Times New Roman"/>
                <w:sz w:val="18"/>
                <w:szCs w:val="18"/>
                <w:color w:val="auto"/>
              </w:rPr>
              <w:t>extent any such provision may be held</w:t>
            </w:r>
          </w:p>
        </w:tc>
        <w:tc>
          <w:tcPr>
            <w:tcW w:w="3240" w:type="dxa"/>
            <w:vAlign w:val="bottom"/>
            <w:gridSpan w:val="6"/>
          </w:tcPr>
          <w:p>
            <w:pPr>
              <w:ind w:left="120"/>
              <w:spacing w:after="0" w:line="202" w:lineRule="exact"/>
              <w:rPr>
                <w:sz w:val="20"/>
                <w:szCs w:val="20"/>
                <w:color w:val="auto"/>
              </w:rPr>
            </w:pPr>
            <w:r>
              <w:rPr>
                <w:rFonts w:ascii="Times New Roman" w:cs="Times New Roman" w:eastAsia="Times New Roman" w:hAnsi="Times New Roman"/>
                <w:sz w:val="18"/>
                <w:szCs w:val="18"/>
                <w:color w:val="auto"/>
              </w:rPr>
              <w:t>who acted in good faith and in a manner</w:t>
            </w:r>
          </w:p>
        </w:tc>
      </w:tr>
      <w:tr>
        <w:trPr>
          <w:trHeight w:val="216"/>
        </w:trPr>
        <w:tc>
          <w:tcPr>
            <w:tcW w:w="1560" w:type="dxa"/>
            <w:vAlign w:val="bottom"/>
          </w:tcPr>
          <w:p>
            <w:pPr>
              <w:spacing w:after="0"/>
              <w:rPr>
                <w:sz w:val="18"/>
                <w:szCs w:val="18"/>
                <w:color w:val="auto"/>
              </w:rPr>
            </w:pPr>
          </w:p>
        </w:tc>
        <w:tc>
          <w:tcPr>
            <w:tcW w:w="34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by  the  Cayman  Islands  courts  to  be</w:t>
            </w:r>
          </w:p>
        </w:tc>
        <w:tc>
          <w:tcPr>
            <w:tcW w:w="32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they believed to be in the best interests</w:t>
            </w:r>
          </w:p>
        </w:tc>
      </w:tr>
      <w:tr>
        <w:trPr>
          <w:trHeight w:val="203"/>
        </w:trPr>
        <w:tc>
          <w:tcPr>
            <w:tcW w:w="1560" w:type="dxa"/>
            <w:vAlign w:val="bottom"/>
          </w:tcPr>
          <w:p>
            <w:pPr>
              <w:spacing w:after="0"/>
              <w:rPr>
                <w:sz w:val="17"/>
                <w:szCs w:val="17"/>
                <w:color w:val="auto"/>
              </w:rPr>
            </w:pPr>
          </w:p>
        </w:tc>
        <w:tc>
          <w:tcPr>
            <w:tcW w:w="3440" w:type="dxa"/>
            <w:vAlign w:val="bottom"/>
            <w:gridSpan w:val="7"/>
          </w:tcPr>
          <w:p>
            <w:pPr>
              <w:ind w:left="260"/>
              <w:spacing w:after="0" w:line="202" w:lineRule="exact"/>
              <w:rPr>
                <w:sz w:val="20"/>
                <w:szCs w:val="20"/>
                <w:color w:val="auto"/>
              </w:rPr>
            </w:pPr>
            <w:r>
              <w:rPr>
                <w:rFonts w:ascii="Times New Roman" w:cs="Times New Roman" w:eastAsia="Times New Roman" w:hAnsi="Times New Roman"/>
                <w:sz w:val="18"/>
                <w:szCs w:val="18"/>
                <w:color w:val="auto"/>
              </w:rPr>
              <w:t>contrary to public policy, such as to</w:t>
            </w:r>
          </w:p>
        </w:tc>
        <w:tc>
          <w:tcPr>
            <w:tcW w:w="3240" w:type="dxa"/>
            <w:vAlign w:val="bottom"/>
            <w:gridSpan w:val="6"/>
          </w:tcPr>
          <w:p>
            <w:pPr>
              <w:ind w:left="120"/>
              <w:spacing w:after="0" w:line="202" w:lineRule="exact"/>
              <w:rPr>
                <w:sz w:val="20"/>
                <w:szCs w:val="20"/>
                <w:color w:val="auto"/>
              </w:rPr>
            </w:pPr>
            <w:r>
              <w:rPr>
                <w:rFonts w:ascii="Times New Roman" w:cs="Times New Roman" w:eastAsia="Times New Roman" w:hAnsi="Times New Roman"/>
                <w:sz w:val="18"/>
                <w:szCs w:val="18"/>
                <w:color w:val="auto"/>
              </w:rPr>
              <w:t>of the corporation, and if with respect to</w:t>
            </w:r>
          </w:p>
        </w:tc>
      </w:tr>
      <w:tr>
        <w:trPr>
          <w:trHeight w:val="203"/>
        </w:trPr>
        <w:tc>
          <w:tcPr>
            <w:tcW w:w="1560" w:type="dxa"/>
            <w:vAlign w:val="bottom"/>
          </w:tcPr>
          <w:p>
            <w:pPr>
              <w:spacing w:after="0"/>
              <w:rPr>
                <w:sz w:val="17"/>
                <w:szCs w:val="17"/>
                <w:color w:val="auto"/>
              </w:rPr>
            </w:pPr>
          </w:p>
        </w:tc>
        <w:tc>
          <w:tcPr>
            <w:tcW w:w="88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provide</w:t>
            </w:r>
          </w:p>
        </w:tc>
        <w:tc>
          <w:tcPr>
            <w:tcW w:w="1400" w:type="dxa"/>
            <w:vAlign w:val="bottom"/>
            <w:gridSpan w:val="4"/>
          </w:tcPr>
          <w:p>
            <w:pPr>
              <w:ind w:left="100"/>
              <w:spacing w:after="0" w:line="202" w:lineRule="exact"/>
              <w:rPr>
                <w:sz w:val="20"/>
                <w:szCs w:val="20"/>
                <w:color w:val="auto"/>
              </w:rPr>
            </w:pPr>
            <w:r>
              <w:rPr>
                <w:rFonts w:ascii="Times New Roman" w:cs="Times New Roman" w:eastAsia="Times New Roman" w:hAnsi="Times New Roman"/>
                <w:sz w:val="18"/>
                <w:szCs w:val="18"/>
                <w:color w:val="auto"/>
              </w:rPr>
              <w:t>indemnification</w:t>
            </w:r>
          </w:p>
        </w:tc>
        <w:tc>
          <w:tcPr>
            <w:tcW w:w="6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against</w:t>
            </w:r>
          </w:p>
        </w:tc>
        <w:tc>
          <w:tcPr>
            <w:tcW w:w="50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civil</w:t>
            </w:r>
          </w:p>
        </w:tc>
        <w:tc>
          <w:tcPr>
            <w:tcW w:w="3240" w:type="dxa"/>
            <w:vAlign w:val="bottom"/>
            <w:gridSpan w:val="6"/>
          </w:tcPr>
          <w:p>
            <w:pPr>
              <w:ind w:left="120"/>
              <w:spacing w:after="0" w:line="202" w:lineRule="exact"/>
              <w:rPr>
                <w:sz w:val="20"/>
                <w:szCs w:val="20"/>
                <w:color w:val="auto"/>
              </w:rPr>
            </w:pPr>
            <w:r>
              <w:rPr>
                <w:rFonts w:ascii="Times New Roman" w:cs="Times New Roman" w:eastAsia="Times New Roman" w:hAnsi="Times New Roman"/>
                <w:sz w:val="18"/>
                <w:szCs w:val="18"/>
                <w:color w:val="auto"/>
              </w:rPr>
              <w:t>a   criminal   proceeding,   had   no</w:t>
            </w:r>
          </w:p>
        </w:tc>
      </w:tr>
      <w:tr>
        <w:trPr>
          <w:trHeight w:val="216"/>
        </w:trPr>
        <w:tc>
          <w:tcPr>
            <w:tcW w:w="1560" w:type="dxa"/>
            <w:vAlign w:val="bottom"/>
          </w:tcPr>
          <w:p>
            <w:pPr>
              <w:spacing w:after="0"/>
              <w:rPr>
                <w:sz w:val="18"/>
                <w:szCs w:val="18"/>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fraud</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12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consequences</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of</w:t>
            </w:r>
          </w:p>
        </w:tc>
        <w:tc>
          <w:tcPr>
            <w:tcW w:w="32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reasonable cause to believe his or her</w:t>
            </w:r>
          </w:p>
        </w:tc>
      </w:tr>
      <w:tr>
        <w:trPr>
          <w:trHeight w:val="203"/>
        </w:trPr>
        <w:tc>
          <w:tcPr>
            <w:tcW w:w="1560" w:type="dxa"/>
            <w:vAlign w:val="bottom"/>
          </w:tcPr>
          <w:p>
            <w:pPr>
              <w:spacing w:after="0"/>
              <w:rPr>
                <w:sz w:val="17"/>
                <w:szCs w:val="17"/>
                <w:color w:val="auto"/>
              </w:rPr>
            </w:pPr>
          </w:p>
        </w:tc>
        <w:tc>
          <w:tcPr>
            <w:tcW w:w="3440" w:type="dxa"/>
            <w:vAlign w:val="bottom"/>
            <w:gridSpan w:val="7"/>
          </w:tcPr>
          <w:p>
            <w:pPr>
              <w:ind w:left="260"/>
              <w:spacing w:after="0" w:line="202" w:lineRule="exact"/>
              <w:rPr>
                <w:sz w:val="20"/>
                <w:szCs w:val="20"/>
                <w:color w:val="auto"/>
              </w:rPr>
            </w:pPr>
            <w:r>
              <w:rPr>
                <w:rFonts w:ascii="Times New Roman" w:cs="Times New Roman" w:eastAsia="Times New Roman" w:hAnsi="Times New Roman"/>
                <w:sz w:val="18"/>
                <w:szCs w:val="18"/>
                <w:color w:val="auto"/>
              </w:rPr>
              <w:t>committing a crime. Our Amended and</w:t>
            </w:r>
          </w:p>
        </w:tc>
        <w:tc>
          <w:tcPr>
            <w:tcW w:w="3240" w:type="dxa"/>
            <w:vAlign w:val="bottom"/>
            <w:gridSpan w:val="6"/>
          </w:tcPr>
          <w:p>
            <w:pPr>
              <w:ind w:left="120"/>
              <w:spacing w:after="0" w:line="202" w:lineRule="exact"/>
              <w:rPr>
                <w:sz w:val="20"/>
                <w:szCs w:val="20"/>
                <w:color w:val="auto"/>
              </w:rPr>
            </w:pPr>
            <w:r>
              <w:rPr>
                <w:rFonts w:ascii="Times New Roman" w:cs="Times New Roman" w:eastAsia="Times New Roman" w:hAnsi="Times New Roman"/>
                <w:sz w:val="18"/>
                <w:szCs w:val="18"/>
                <w:color w:val="auto"/>
              </w:rPr>
              <w:t>conduct  would  be  unlawful,  against</w:t>
            </w:r>
          </w:p>
        </w:tc>
      </w:tr>
      <w:tr>
        <w:trPr>
          <w:trHeight w:val="203"/>
        </w:trPr>
        <w:tc>
          <w:tcPr>
            <w:tcW w:w="1560" w:type="dxa"/>
            <w:vAlign w:val="bottom"/>
          </w:tcPr>
          <w:p>
            <w:pPr>
              <w:spacing w:after="0"/>
              <w:rPr>
                <w:sz w:val="17"/>
                <w:szCs w:val="17"/>
                <w:color w:val="auto"/>
              </w:rPr>
            </w:pPr>
          </w:p>
        </w:tc>
        <w:tc>
          <w:tcPr>
            <w:tcW w:w="3440" w:type="dxa"/>
            <w:vAlign w:val="bottom"/>
            <w:gridSpan w:val="7"/>
          </w:tcPr>
          <w:p>
            <w:pPr>
              <w:ind w:left="260"/>
              <w:spacing w:after="0" w:line="202" w:lineRule="exact"/>
              <w:rPr>
                <w:sz w:val="20"/>
                <w:szCs w:val="20"/>
                <w:color w:val="auto"/>
              </w:rPr>
            </w:pPr>
            <w:r>
              <w:rPr>
                <w:rFonts w:ascii="Times New Roman" w:cs="Times New Roman" w:eastAsia="Times New Roman" w:hAnsi="Times New Roman"/>
                <w:sz w:val="18"/>
                <w:szCs w:val="18"/>
                <w:color w:val="auto"/>
              </w:rPr>
              <w:t>Restated Memorandum and Articles of</w:t>
            </w:r>
          </w:p>
        </w:tc>
        <w:tc>
          <w:tcPr>
            <w:tcW w:w="9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amounts</w:t>
            </w:r>
          </w:p>
        </w:tc>
        <w:tc>
          <w:tcPr>
            <w:tcW w:w="920" w:type="dxa"/>
            <w:vAlign w:val="bottom"/>
            <w:gridSpan w:val="2"/>
          </w:tcPr>
          <w:p>
            <w:pPr>
              <w:jc w:val="center"/>
              <w:ind w:right="70"/>
              <w:spacing w:after="0" w:line="202" w:lineRule="exact"/>
              <w:rPr>
                <w:sz w:val="20"/>
                <w:szCs w:val="20"/>
                <w:color w:val="auto"/>
              </w:rPr>
            </w:pPr>
            <w:r>
              <w:rPr>
                <w:rFonts w:ascii="Times New Roman" w:cs="Times New Roman" w:eastAsia="Times New Roman" w:hAnsi="Times New Roman"/>
                <w:sz w:val="18"/>
                <w:szCs w:val="18"/>
                <w:color w:val="auto"/>
              </w:rPr>
              <w:t>actually</w:t>
            </w:r>
          </w:p>
        </w:tc>
        <w:tc>
          <w:tcPr>
            <w:tcW w:w="5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and</w:t>
            </w:r>
          </w:p>
        </w:tc>
        <w:tc>
          <w:tcPr>
            <w:tcW w:w="8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reasonably</w:t>
            </w:r>
          </w:p>
        </w:tc>
      </w:tr>
      <w:tr>
        <w:trPr>
          <w:trHeight w:val="216"/>
        </w:trPr>
        <w:tc>
          <w:tcPr>
            <w:tcW w:w="1560" w:type="dxa"/>
            <w:vAlign w:val="bottom"/>
          </w:tcPr>
          <w:p>
            <w:pPr>
              <w:spacing w:after="0"/>
              <w:rPr>
                <w:sz w:val="18"/>
                <w:szCs w:val="18"/>
                <w:color w:val="auto"/>
              </w:rPr>
            </w:pPr>
          </w:p>
        </w:tc>
        <w:tc>
          <w:tcPr>
            <w:tcW w:w="34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Association  provide  that  we  shall</w:t>
            </w:r>
          </w:p>
        </w:tc>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incurred.</w:t>
            </w:r>
          </w:p>
        </w:tc>
        <w:tc>
          <w:tcPr>
            <w:tcW w:w="19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Additionally,   under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03"/>
        </w:trPr>
        <w:tc>
          <w:tcPr>
            <w:tcW w:w="1560" w:type="dxa"/>
            <w:vAlign w:val="bottom"/>
          </w:tcPr>
          <w:p>
            <w:pPr>
              <w:spacing w:after="0"/>
              <w:rPr>
                <w:sz w:val="17"/>
                <w:szCs w:val="17"/>
                <w:color w:val="auto"/>
              </w:rPr>
            </w:pPr>
          </w:p>
        </w:tc>
        <w:tc>
          <w:tcPr>
            <w:tcW w:w="3440" w:type="dxa"/>
            <w:vAlign w:val="bottom"/>
            <w:gridSpan w:val="7"/>
          </w:tcPr>
          <w:p>
            <w:pPr>
              <w:ind w:left="260"/>
              <w:spacing w:after="0" w:line="202" w:lineRule="exact"/>
              <w:rPr>
                <w:sz w:val="20"/>
                <w:szCs w:val="20"/>
                <w:color w:val="auto"/>
              </w:rPr>
            </w:pPr>
            <w:r>
              <w:rPr>
                <w:rFonts w:ascii="Times New Roman" w:cs="Times New Roman" w:eastAsia="Times New Roman" w:hAnsi="Times New Roman"/>
                <w:sz w:val="18"/>
                <w:szCs w:val="18"/>
                <w:color w:val="auto"/>
              </w:rPr>
              <w:t>indemnify  our  directors  and  officers,</w:t>
            </w:r>
          </w:p>
        </w:tc>
        <w:tc>
          <w:tcPr>
            <w:tcW w:w="3240" w:type="dxa"/>
            <w:vAlign w:val="bottom"/>
            <w:gridSpan w:val="6"/>
          </w:tcPr>
          <w:p>
            <w:pPr>
              <w:ind w:left="120"/>
              <w:spacing w:after="0" w:line="202" w:lineRule="exact"/>
              <w:rPr>
                <w:sz w:val="20"/>
                <w:szCs w:val="20"/>
                <w:color w:val="auto"/>
              </w:rPr>
            </w:pPr>
            <w:r>
              <w:rPr>
                <w:rFonts w:ascii="Times New Roman" w:cs="Times New Roman" w:eastAsia="Times New Roman" w:hAnsi="Times New Roman"/>
                <w:sz w:val="18"/>
                <w:szCs w:val="18"/>
                <w:color w:val="auto"/>
              </w:rPr>
              <w:t>Delaware General Corporation Law, a</w:t>
            </w:r>
          </w:p>
        </w:tc>
      </w:tr>
      <w:tr>
        <w:trPr>
          <w:trHeight w:val="202"/>
        </w:trPr>
        <w:tc>
          <w:tcPr>
            <w:tcW w:w="1560" w:type="dxa"/>
            <w:vAlign w:val="bottom"/>
          </w:tcPr>
          <w:p>
            <w:pPr>
              <w:spacing w:after="0"/>
              <w:rPr>
                <w:sz w:val="17"/>
                <w:szCs w:val="17"/>
                <w:color w:val="auto"/>
              </w:rPr>
            </w:pPr>
          </w:p>
        </w:tc>
        <w:tc>
          <w:tcPr>
            <w:tcW w:w="3440" w:type="dxa"/>
            <w:vAlign w:val="bottom"/>
            <w:gridSpan w:val="7"/>
          </w:tcPr>
          <w:p>
            <w:pPr>
              <w:ind w:left="260"/>
              <w:spacing w:after="0" w:line="202" w:lineRule="exact"/>
              <w:rPr>
                <w:sz w:val="20"/>
                <w:szCs w:val="20"/>
                <w:color w:val="auto"/>
              </w:rPr>
            </w:pPr>
            <w:r>
              <w:rPr>
                <w:rFonts w:ascii="Times New Roman" w:cs="Times New Roman" w:eastAsia="Times New Roman" w:hAnsi="Times New Roman"/>
                <w:sz w:val="18"/>
                <w:szCs w:val="18"/>
                <w:color w:val="auto"/>
              </w:rPr>
              <w:t>against all actions, proceedings, costs,</w:t>
            </w:r>
          </w:p>
        </w:tc>
        <w:tc>
          <w:tcPr>
            <w:tcW w:w="9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92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corporation</w:t>
            </w:r>
          </w:p>
        </w:tc>
        <w:tc>
          <w:tcPr>
            <w:tcW w:w="52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must</w:t>
            </w:r>
          </w:p>
        </w:tc>
        <w:tc>
          <w:tcPr>
            <w:tcW w:w="8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indemnify</w:t>
            </w:r>
          </w:p>
        </w:tc>
      </w:tr>
      <w:tr>
        <w:trPr>
          <w:trHeight w:val="216"/>
        </w:trPr>
        <w:tc>
          <w:tcPr>
            <w:tcW w:w="1560" w:type="dxa"/>
            <w:vAlign w:val="bottom"/>
          </w:tcPr>
          <w:p>
            <w:pPr>
              <w:spacing w:after="0"/>
              <w:rPr>
                <w:sz w:val="18"/>
                <w:szCs w:val="18"/>
                <w:color w:val="auto"/>
              </w:rPr>
            </w:pPr>
          </w:p>
        </w:tc>
        <w:tc>
          <w:tcPr>
            <w:tcW w:w="34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charges, expenses, losses, damages or</w:t>
            </w:r>
          </w:p>
        </w:tc>
        <w:tc>
          <w:tcPr>
            <w:tcW w:w="32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its  present  or  former  directors  and</w:t>
            </w:r>
          </w:p>
        </w:tc>
      </w:tr>
      <w:tr>
        <w:trPr>
          <w:trHeight w:val="203"/>
        </w:trPr>
        <w:tc>
          <w:tcPr>
            <w:tcW w:w="1560" w:type="dxa"/>
            <w:vAlign w:val="bottom"/>
          </w:tcPr>
          <w:p>
            <w:pPr>
              <w:spacing w:after="0"/>
              <w:rPr>
                <w:sz w:val="17"/>
                <w:szCs w:val="17"/>
                <w:color w:val="auto"/>
              </w:rPr>
            </w:pPr>
          </w:p>
        </w:tc>
        <w:tc>
          <w:tcPr>
            <w:tcW w:w="3440" w:type="dxa"/>
            <w:vAlign w:val="bottom"/>
            <w:gridSpan w:val="7"/>
          </w:tcPr>
          <w:p>
            <w:pPr>
              <w:ind w:left="260"/>
              <w:spacing w:after="0" w:line="202" w:lineRule="exact"/>
              <w:rPr>
                <w:sz w:val="20"/>
                <w:szCs w:val="20"/>
                <w:color w:val="auto"/>
              </w:rPr>
            </w:pPr>
            <w:r>
              <w:rPr>
                <w:rFonts w:ascii="Times New Roman" w:cs="Times New Roman" w:eastAsia="Times New Roman" w:hAnsi="Times New Roman"/>
                <w:sz w:val="18"/>
                <w:szCs w:val="18"/>
                <w:color w:val="auto"/>
              </w:rPr>
              <w:t>liabilities incurred or sustained by such</w:t>
            </w:r>
          </w:p>
        </w:tc>
        <w:tc>
          <w:tcPr>
            <w:tcW w:w="15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officers  against</w:t>
            </w:r>
          </w:p>
        </w:tc>
        <w:tc>
          <w:tcPr>
            <w:tcW w:w="86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expenses</w:t>
            </w:r>
          </w:p>
        </w:tc>
        <w:tc>
          <w:tcPr>
            <w:tcW w:w="8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(including</w:t>
            </w:r>
          </w:p>
        </w:tc>
      </w:tr>
      <w:tr>
        <w:trPr>
          <w:trHeight w:val="203"/>
        </w:trPr>
        <w:tc>
          <w:tcPr>
            <w:tcW w:w="1560" w:type="dxa"/>
            <w:vAlign w:val="bottom"/>
          </w:tcPr>
          <w:p>
            <w:pPr>
              <w:spacing w:after="0"/>
              <w:rPr>
                <w:sz w:val="17"/>
                <w:szCs w:val="17"/>
                <w:color w:val="auto"/>
              </w:rPr>
            </w:pPr>
          </w:p>
        </w:tc>
        <w:tc>
          <w:tcPr>
            <w:tcW w:w="3440" w:type="dxa"/>
            <w:vAlign w:val="bottom"/>
            <w:gridSpan w:val="7"/>
          </w:tcPr>
          <w:p>
            <w:pPr>
              <w:ind w:left="260"/>
              <w:spacing w:after="0" w:line="202" w:lineRule="exact"/>
              <w:rPr>
                <w:sz w:val="20"/>
                <w:szCs w:val="20"/>
                <w:color w:val="auto"/>
              </w:rPr>
            </w:pPr>
            <w:r>
              <w:rPr>
                <w:rFonts w:ascii="Times New Roman" w:cs="Times New Roman" w:eastAsia="Times New Roman" w:hAnsi="Times New Roman"/>
                <w:sz w:val="18"/>
                <w:szCs w:val="18"/>
                <w:color w:val="auto"/>
              </w:rPr>
              <w:t>directors or officer, other than by reason</w:t>
            </w:r>
          </w:p>
        </w:tc>
        <w:tc>
          <w:tcPr>
            <w:tcW w:w="3240" w:type="dxa"/>
            <w:vAlign w:val="bottom"/>
            <w:gridSpan w:val="6"/>
          </w:tcPr>
          <w:p>
            <w:pPr>
              <w:ind w:left="120"/>
              <w:spacing w:after="0" w:line="202" w:lineRule="exact"/>
              <w:rPr>
                <w:sz w:val="20"/>
                <w:szCs w:val="20"/>
                <w:color w:val="auto"/>
              </w:rPr>
            </w:pPr>
            <w:r>
              <w:rPr>
                <w:rFonts w:ascii="Times New Roman" w:cs="Times New Roman" w:eastAsia="Times New Roman" w:hAnsi="Times New Roman"/>
                <w:sz w:val="18"/>
                <w:szCs w:val="18"/>
                <w:color w:val="auto"/>
              </w:rPr>
              <w:t>attorneys’ fees) actually and reasonably</w:t>
            </w:r>
          </w:p>
        </w:tc>
      </w:tr>
      <w:tr>
        <w:trPr>
          <w:trHeight w:val="216"/>
        </w:trPr>
        <w:tc>
          <w:tcPr>
            <w:tcW w:w="1560" w:type="dxa"/>
            <w:vAlign w:val="bottom"/>
          </w:tcPr>
          <w:p>
            <w:pPr>
              <w:spacing w:after="0"/>
              <w:rPr>
                <w:sz w:val="18"/>
                <w:szCs w:val="18"/>
                <w:color w:val="auto"/>
              </w:rPr>
            </w:pPr>
          </w:p>
        </w:tc>
        <w:tc>
          <w:tcPr>
            <w:tcW w:w="34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of  such  person’s  dishonesty,  willful</w:t>
            </w:r>
          </w:p>
        </w:tc>
        <w:tc>
          <w:tcPr>
            <w:tcW w:w="32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incurred to the extent that the officer or</w:t>
            </w:r>
          </w:p>
        </w:tc>
      </w:tr>
      <w:tr>
        <w:trPr>
          <w:trHeight w:val="203"/>
        </w:trPr>
        <w:tc>
          <w:tcPr>
            <w:tcW w:w="1560" w:type="dxa"/>
            <w:vAlign w:val="bottom"/>
          </w:tcPr>
          <w:p>
            <w:pPr>
              <w:spacing w:after="0"/>
              <w:rPr>
                <w:sz w:val="17"/>
                <w:szCs w:val="17"/>
                <w:color w:val="auto"/>
              </w:rPr>
            </w:pPr>
          </w:p>
        </w:tc>
        <w:tc>
          <w:tcPr>
            <w:tcW w:w="3440" w:type="dxa"/>
            <w:vAlign w:val="bottom"/>
            <w:gridSpan w:val="7"/>
          </w:tcPr>
          <w:p>
            <w:pPr>
              <w:ind w:left="260"/>
              <w:spacing w:after="0" w:line="202" w:lineRule="exact"/>
              <w:rPr>
                <w:sz w:val="20"/>
                <w:szCs w:val="20"/>
                <w:color w:val="auto"/>
              </w:rPr>
            </w:pPr>
            <w:r>
              <w:rPr>
                <w:rFonts w:ascii="Times New Roman" w:cs="Times New Roman" w:eastAsia="Times New Roman" w:hAnsi="Times New Roman"/>
                <w:sz w:val="18"/>
                <w:szCs w:val="18"/>
                <w:color w:val="auto"/>
              </w:rPr>
              <w:t>default or fraud, in or about the conduct</w:t>
            </w:r>
          </w:p>
        </w:tc>
        <w:tc>
          <w:tcPr>
            <w:tcW w:w="3240" w:type="dxa"/>
            <w:vAlign w:val="bottom"/>
            <w:gridSpan w:val="6"/>
          </w:tcPr>
          <w:p>
            <w:pPr>
              <w:ind w:left="120"/>
              <w:spacing w:after="0" w:line="202" w:lineRule="exact"/>
              <w:rPr>
                <w:sz w:val="20"/>
                <w:szCs w:val="20"/>
                <w:color w:val="auto"/>
              </w:rPr>
            </w:pPr>
            <w:r>
              <w:rPr>
                <w:rFonts w:ascii="Times New Roman" w:cs="Times New Roman" w:eastAsia="Times New Roman" w:hAnsi="Times New Roman"/>
                <w:sz w:val="18"/>
                <w:szCs w:val="18"/>
                <w:color w:val="auto"/>
              </w:rPr>
              <w:t>director  has  been  successful  on  the</w:t>
            </w:r>
          </w:p>
        </w:tc>
      </w:tr>
      <w:tr>
        <w:trPr>
          <w:trHeight w:val="203"/>
        </w:trPr>
        <w:tc>
          <w:tcPr>
            <w:tcW w:w="1560" w:type="dxa"/>
            <w:vAlign w:val="bottom"/>
          </w:tcPr>
          <w:p>
            <w:pPr>
              <w:spacing w:after="0"/>
              <w:rPr>
                <w:sz w:val="17"/>
                <w:szCs w:val="17"/>
                <w:color w:val="auto"/>
              </w:rPr>
            </w:pPr>
          </w:p>
        </w:tc>
        <w:tc>
          <w:tcPr>
            <w:tcW w:w="3440" w:type="dxa"/>
            <w:vAlign w:val="bottom"/>
            <w:gridSpan w:val="7"/>
          </w:tcPr>
          <w:p>
            <w:pPr>
              <w:ind w:left="260"/>
              <w:spacing w:after="0" w:line="202" w:lineRule="exact"/>
              <w:rPr>
                <w:sz w:val="20"/>
                <w:szCs w:val="20"/>
                <w:color w:val="auto"/>
              </w:rPr>
            </w:pPr>
            <w:r>
              <w:rPr>
                <w:rFonts w:ascii="Times New Roman" w:cs="Times New Roman" w:eastAsia="Times New Roman" w:hAnsi="Times New Roman"/>
                <w:sz w:val="18"/>
                <w:szCs w:val="18"/>
                <w:color w:val="auto"/>
              </w:rPr>
              <w:t>of  our  company’s  business  or  affairs</w:t>
            </w:r>
          </w:p>
        </w:tc>
        <w:tc>
          <w:tcPr>
            <w:tcW w:w="3240" w:type="dxa"/>
            <w:vAlign w:val="bottom"/>
            <w:gridSpan w:val="6"/>
          </w:tcPr>
          <w:p>
            <w:pPr>
              <w:ind w:left="120"/>
              <w:spacing w:after="0" w:line="202" w:lineRule="exact"/>
              <w:rPr>
                <w:sz w:val="20"/>
                <w:szCs w:val="20"/>
                <w:color w:val="auto"/>
              </w:rPr>
            </w:pPr>
            <w:r>
              <w:rPr>
                <w:rFonts w:ascii="Times New Roman" w:cs="Times New Roman" w:eastAsia="Times New Roman" w:hAnsi="Times New Roman"/>
                <w:sz w:val="18"/>
                <w:szCs w:val="18"/>
                <w:color w:val="auto"/>
              </w:rPr>
              <w:t>merits or otherwise in defense of any</w:t>
            </w:r>
          </w:p>
        </w:tc>
      </w:tr>
      <w:tr>
        <w:trPr>
          <w:trHeight w:val="216"/>
        </w:trPr>
        <w:tc>
          <w:tcPr>
            <w:tcW w:w="1560" w:type="dxa"/>
            <w:vAlign w:val="bottom"/>
          </w:tcPr>
          <w:p>
            <w:pPr>
              <w:spacing w:after="0"/>
              <w:rPr>
                <w:sz w:val="18"/>
                <w:szCs w:val="18"/>
                <w:color w:val="auto"/>
              </w:rPr>
            </w:pPr>
          </w:p>
        </w:tc>
        <w:tc>
          <w:tcPr>
            <w:tcW w:w="34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(including as a result of any mistake of</w:t>
            </w:r>
          </w:p>
        </w:tc>
        <w:tc>
          <w:tcPr>
            <w:tcW w:w="32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action,  suit  or  proceeding  brought</w:t>
            </w:r>
          </w:p>
        </w:tc>
      </w:tr>
      <w:tr>
        <w:trPr>
          <w:trHeight w:val="234"/>
        </w:trPr>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against him or her</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b w:val="1"/>
          <w:bCs w:val="1"/>
          <w:i w:val="1"/>
          <w:iCs w:val="1"/>
          <w:color w:val="auto"/>
        </w:rPr>
        <w:t>Directors’ Fiduciary</w:t>
      </w:r>
    </w:p>
    <w:p>
      <w:pPr>
        <w:ind w:left="1460"/>
        <w:spacing w:after="0"/>
        <w:rPr>
          <w:sz w:val="20"/>
          <w:szCs w:val="20"/>
          <w:color w:val="auto"/>
        </w:rPr>
      </w:pPr>
      <w:r>
        <w:rPr>
          <w:rFonts w:ascii="Times New Roman" w:cs="Times New Roman" w:eastAsia="Times New Roman" w:hAnsi="Times New Roman"/>
          <w:sz w:val="18"/>
          <w:szCs w:val="18"/>
          <w:b w:val="1"/>
          <w:bCs w:val="1"/>
          <w:i w:val="1"/>
          <w:iCs w:val="1"/>
          <w:color w:val="auto"/>
        </w:rPr>
        <w:t>Duties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8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260" w:type="dxa"/>
            <w:vAlign w:val="bottom"/>
          </w:tcPr>
          <w:p>
            <w:pPr>
              <w:spacing w:after="0"/>
              <w:rPr>
                <w:sz w:val="16"/>
                <w:szCs w:val="16"/>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7"/>
        </w:trPr>
        <w:tc>
          <w:tcPr>
            <w:tcW w:w="220" w:type="dxa"/>
            <w:vAlign w:val="bottom"/>
            <w:vMerge w:val="continue"/>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20" w:type="dxa"/>
            <w:vAlign w:val="bottom"/>
            <w:vMerge w:val="continue"/>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judgment)  or  in  the  execution</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by reason of the fact that he or she is or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220" w:right="439"/>
        <w:spacing w:after="0"/>
        <w:rPr>
          <w:sz w:val="20"/>
          <w:szCs w:val="20"/>
          <w:color w:val="auto"/>
        </w:rPr>
      </w:pPr>
      <w:r>
        <w:rPr>
          <w:rFonts w:ascii="Times New Roman" w:cs="Times New Roman" w:eastAsia="Times New Roman" w:hAnsi="Times New Roman"/>
          <w:sz w:val="18"/>
          <w:szCs w:val="18"/>
          <w:color w:val="auto"/>
        </w:rPr>
        <w:t>discharge of his duties, powers, was a director or officer of the authorities or discretions, including corporation. without prejudice to the generality of</w:t>
      </w:r>
    </w:p>
    <w:p>
      <w:pPr>
        <w:spacing w:after="0" w:line="204" w:lineRule="exact"/>
        <w:rPr>
          <w:sz w:val="20"/>
          <w:szCs w:val="20"/>
          <w:color w:val="auto"/>
        </w:rPr>
      </w:pPr>
    </w:p>
    <w:p>
      <w:pPr>
        <w:ind w:left="220"/>
        <w:spacing w:after="0"/>
        <w:tabs>
          <w:tab w:leader="none" w:pos="600" w:val="left"/>
          <w:tab w:leader="none" w:pos="1540" w:val="left"/>
          <w:tab w:leader="none" w:pos="1960" w:val="left"/>
          <w:tab w:leader="none" w:pos="2560" w:val="left"/>
        </w:tabs>
        <w:rPr>
          <w:sz w:val="20"/>
          <w:szCs w:val="20"/>
          <w:color w:val="auto"/>
        </w:rPr>
      </w:pPr>
      <w:r>
        <w:rPr>
          <w:rFonts w:ascii="Times New Roman" w:cs="Times New Roman" w:eastAsia="Times New Roman" w:hAnsi="Times New Roman"/>
          <w:sz w:val="18"/>
          <w:szCs w:val="18"/>
          <w:color w:val="auto"/>
        </w:rPr>
        <w:t>the</w:t>
        <w:tab/>
        <w:t>foregoing,</w:t>
        <w:tab/>
        <w:t>any</w:t>
        <w:tab/>
        <w:t>costs,</w:t>
        <w:tab/>
        <w:t>expenses,</w:t>
      </w:r>
    </w:p>
    <w:p>
      <w:pPr>
        <w:ind w:left="220"/>
        <w:spacing w:after="0" w:line="234" w:lineRule="auto"/>
        <w:rPr>
          <w:sz w:val="20"/>
          <w:szCs w:val="20"/>
          <w:color w:val="auto"/>
        </w:rPr>
      </w:pPr>
      <w:r>
        <w:rPr>
          <w:rFonts w:ascii="Times New Roman" w:cs="Times New Roman" w:eastAsia="Times New Roman" w:hAnsi="Times New Roman"/>
          <w:sz w:val="18"/>
          <w:szCs w:val="18"/>
          <w:color w:val="auto"/>
        </w:rPr>
        <w:t>losses  or  liabilities  incurred  by  such</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director or officer in defending (whether</w:t>
      </w:r>
    </w:p>
    <w:p>
      <w:pPr>
        <w:spacing w:after="0" w:line="5" w:lineRule="exact"/>
        <w:rPr>
          <w:sz w:val="20"/>
          <w:szCs w:val="20"/>
          <w:color w:val="auto"/>
        </w:rPr>
      </w:pPr>
    </w:p>
    <w:p>
      <w:pPr>
        <w:ind w:left="220"/>
        <w:spacing w:after="0"/>
        <w:tabs>
          <w:tab w:leader="none" w:pos="1280" w:val="left"/>
          <w:tab w:leader="none" w:pos="1580" w:val="left"/>
          <w:tab w:leader="none" w:pos="2520" w:val="left"/>
          <w:tab w:leader="none" w:pos="2940" w:val="left"/>
        </w:tabs>
        <w:rPr>
          <w:sz w:val="20"/>
          <w:szCs w:val="20"/>
          <w:color w:val="auto"/>
        </w:rPr>
      </w:pPr>
      <w:r>
        <w:rPr>
          <w:rFonts w:ascii="Times New Roman" w:cs="Times New Roman" w:eastAsia="Times New Roman" w:hAnsi="Times New Roman"/>
          <w:sz w:val="18"/>
          <w:szCs w:val="18"/>
          <w:color w:val="auto"/>
        </w:rPr>
        <w:t>successfully</w:t>
        <w:tab/>
        <w:t>or</w:t>
        <w:tab/>
        <w:t>otherwise)</w:t>
        <w:tab/>
        <w:t>any</w:t>
      </w:r>
      <w:r>
        <w:rPr>
          <w:sz w:val="20"/>
          <w:szCs w:val="20"/>
          <w:color w:val="auto"/>
        </w:rPr>
        <w:tab/>
      </w:r>
      <w:r>
        <w:rPr>
          <w:rFonts w:ascii="Times New Roman" w:cs="Times New Roman" w:eastAsia="Times New Roman" w:hAnsi="Times New Roman"/>
          <w:sz w:val="17"/>
          <w:szCs w:val="17"/>
          <w:color w:val="auto"/>
        </w:rPr>
        <w:t>civil</w:t>
      </w:r>
    </w:p>
    <w:p>
      <w:pPr>
        <w:ind w:left="220"/>
        <w:spacing w:after="0" w:line="234" w:lineRule="auto"/>
        <w:rPr>
          <w:sz w:val="20"/>
          <w:szCs w:val="20"/>
          <w:color w:val="auto"/>
        </w:rPr>
      </w:pPr>
      <w:r>
        <w:rPr>
          <w:rFonts w:ascii="Times New Roman" w:cs="Times New Roman" w:eastAsia="Times New Roman" w:hAnsi="Times New Roman"/>
          <w:sz w:val="18"/>
          <w:szCs w:val="18"/>
          <w:color w:val="auto"/>
        </w:rPr>
        <w:t>proceedings concerning our company or</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our affairs in any court whether in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Cayman Islands or elsewhere.</w:t>
      </w:r>
    </w:p>
    <w:p>
      <w:pPr>
        <w:spacing w:after="0" w:line="85" w:lineRule="exact"/>
        <w:rPr>
          <w:sz w:val="20"/>
          <w:szCs w:val="20"/>
          <w:color w:val="auto"/>
        </w:rPr>
      </w:pPr>
    </w:p>
    <w:p>
      <w:pPr>
        <w:ind w:left="220"/>
        <w:spacing w:after="0"/>
        <w:tabs>
          <w:tab w:leader="none" w:pos="520" w:val="left"/>
          <w:tab w:leader="none" w:pos="1360" w:val="left"/>
          <w:tab w:leader="none" w:pos="1740" w:val="left"/>
          <w:tab w:leader="none" w:pos="2260" w:val="left"/>
          <w:tab w:leader="none" w:pos="2980" w:val="left"/>
        </w:tabs>
        <w:rPr>
          <w:sz w:val="20"/>
          <w:szCs w:val="20"/>
          <w:color w:val="auto"/>
        </w:rPr>
      </w:pPr>
      <w:r>
        <w:rPr>
          <w:rFonts w:ascii="Times New Roman" w:cs="Times New Roman" w:eastAsia="Times New Roman" w:hAnsi="Times New Roman"/>
          <w:sz w:val="18"/>
          <w:szCs w:val="18"/>
          <w:color w:val="auto"/>
        </w:rPr>
        <w:t>In</w:t>
        <w:tab/>
        <w:t>addition,</w:t>
        <w:tab/>
        <w:t>we</w:t>
        <w:tab/>
        <w:t>have</w:t>
        <w:tab/>
        <w:t>entered</w:t>
      </w:r>
      <w:r>
        <w:rPr>
          <w:sz w:val="20"/>
          <w:szCs w:val="20"/>
          <w:color w:val="auto"/>
        </w:rPr>
        <w:tab/>
      </w:r>
      <w:r>
        <w:rPr>
          <w:rFonts w:ascii="Times New Roman" w:cs="Times New Roman" w:eastAsia="Times New Roman" w:hAnsi="Times New Roman"/>
          <w:sz w:val="17"/>
          <w:szCs w:val="17"/>
          <w:color w:val="auto"/>
        </w:rPr>
        <w:t>into</w:t>
      </w:r>
    </w:p>
    <w:p>
      <w:pPr>
        <w:spacing w:after="0" w:line="16" w:lineRule="exact"/>
        <w:rPr>
          <w:sz w:val="20"/>
          <w:szCs w:val="20"/>
          <w:color w:val="auto"/>
        </w:rPr>
      </w:pPr>
    </w:p>
    <w:p>
      <w:pPr>
        <w:ind w:left="220"/>
        <w:spacing w:after="0"/>
        <w:tabs>
          <w:tab w:leader="none" w:pos="1540" w:val="left"/>
          <w:tab w:leader="none" w:pos="2540" w:val="left"/>
          <w:tab w:leader="none" w:pos="3020" w:val="left"/>
        </w:tabs>
        <w:rPr>
          <w:sz w:val="20"/>
          <w:szCs w:val="20"/>
          <w:color w:val="auto"/>
        </w:rPr>
      </w:pPr>
      <w:r>
        <w:rPr>
          <w:rFonts w:ascii="Times New Roman" w:cs="Times New Roman" w:eastAsia="Times New Roman" w:hAnsi="Times New Roman"/>
          <w:sz w:val="18"/>
          <w:szCs w:val="18"/>
          <w:color w:val="auto"/>
        </w:rPr>
        <w:t>indemnification</w:t>
        <w:tab/>
        <w:t>agreements</w:t>
        <w:tab/>
        <w:t>with</w:t>
        <w:tab/>
        <w:t>our</w:t>
      </w:r>
    </w:p>
    <w:p>
      <w:pPr>
        <w:spacing w:after="0" w:line="5" w:lineRule="exact"/>
        <w:rPr>
          <w:sz w:val="20"/>
          <w:szCs w:val="20"/>
          <w:color w:val="auto"/>
        </w:rPr>
      </w:pPr>
    </w:p>
    <w:p>
      <w:pPr>
        <w:ind w:left="220"/>
        <w:spacing w:after="0"/>
        <w:tabs>
          <w:tab w:leader="none" w:pos="1000" w:val="left"/>
          <w:tab w:leader="none" w:pos="1420" w:val="left"/>
          <w:tab w:leader="none" w:pos="2280" w:val="left"/>
          <w:tab w:leader="none" w:pos="3000" w:val="left"/>
        </w:tabs>
        <w:rPr>
          <w:sz w:val="20"/>
          <w:szCs w:val="20"/>
          <w:color w:val="auto"/>
        </w:rPr>
      </w:pPr>
      <w:r>
        <w:rPr>
          <w:rFonts w:ascii="Times New Roman" w:cs="Times New Roman" w:eastAsia="Times New Roman" w:hAnsi="Times New Roman"/>
          <w:sz w:val="18"/>
          <w:szCs w:val="18"/>
          <w:color w:val="auto"/>
        </w:rPr>
        <w:t>directors</w:t>
        <w:tab/>
        <w:t>and</w:t>
        <w:tab/>
        <w:t>executive</w:t>
        <w:tab/>
        <w:t>officers</w:t>
        <w:tab/>
        <w:t>that</w:t>
      </w:r>
    </w:p>
    <w:p>
      <w:pPr>
        <w:ind w:left="220"/>
        <w:spacing w:after="0" w:line="234" w:lineRule="auto"/>
        <w:rPr>
          <w:sz w:val="20"/>
          <w:szCs w:val="20"/>
          <w:color w:val="auto"/>
        </w:rPr>
      </w:pPr>
      <w:r>
        <w:rPr>
          <w:rFonts w:ascii="Times New Roman" w:cs="Times New Roman" w:eastAsia="Times New Roman" w:hAnsi="Times New Roman"/>
          <w:sz w:val="18"/>
          <w:szCs w:val="18"/>
          <w:color w:val="auto"/>
        </w:rPr>
        <w:t>provide  such  persons  with  additional</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indemnification beyond that provided in</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Articles.</w:t>
      </w:r>
    </w:p>
    <w:p>
      <w:pPr>
        <w:spacing w:after="0" w:line="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Insofar as indemnification for liabilities</w:t>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arising under the Securities Act may be</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permitted to our directors, officers or</w:t>
      </w:r>
    </w:p>
    <w:p>
      <w:pPr>
        <w:ind w:left="220"/>
        <w:spacing w:after="0" w:line="234" w:lineRule="auto"/>
        <w:tabs>
          <w:tab w:leader="none" w:pos="980" w:val="left"/>
          <w:tab w:leader="none" w:pos="2020" w:val="left"/>
          <w:tab w:leader="none" w:pos="2400" w:val="left"/>
          <w:tab w:leader="none" w:pos="3040" w:val="left"/>
        </w:tabs>
        <w:rPr>
          <w:sz w:val="20"/>
          <w:szCs w:val="20"/>
          <w:color w:val="auto"/>
        </w:rPr>
      </w:pPr>
      <w:r>
        <w:rPr>
          <w:rFonts w:ascii="Times New Roman" w:cs="Times New Roman" w:eastAsia="Times New Roman" w:hAnsi="Times New Roman"/>
          <w:sz w:val="18"/>
          <w:szCs w:val="18"/>
          <w:color w:val="auto"/>
        </w:rPr>
        <w:t>persons</w:t>
        <w:tab/>
        <w:t>controlling</w:t>
        <w:tab/>
        <w:t>us</w:t>
        <w:tab/>
        <w:t>under</w:t>
        <w:tab/>
        <w:t>the</w:t>
      </w:r>
    </w:p>
    <w:p>
      <w:pPr>
        <w:spacing w:after="0" w:line="1" w:lineRule="exact"/>
        <w:rPr>
          <w:sz w:val="20"/>
          <w:szCs w:val="20"/>
          <w:color w:val="auto"/>
        </w:rPr>
      </w:pPr>
    </w:p>
    <w:p>
      <w:pPr>
        <w:ind w:left="220"/>
        <w:spacing w:after="0"/>
        <w:tabs>
          <w:tab w:leader="none" w:pos="1080" w:val="left"/>
          <w:tab w:leader="none" w:pos="2060" w:val="left"/>
          <w:tab w:leader="none" w:pos="2420" w:val="left"/>
          <w:tab w:leader="none" w:pos="2920" w:val="left"/>
        </w:tabs>
        <w:rPr>
          <w:sz w:val="20"/>
          <w:szCs w:val="20"/>
          <w:color w:val="auto"/>
        </w:rPr>
      </w:pPr>
      <w:r>
        <w:rPr>
          <w:rFonts w:ascii="Times New Roman" w:cs="Times New Roman" w:eastAsia="Times New Roman" w:hAnsi="Times New Roman"/>
          <w:sz w:val="18"/>
          <w:szCs w:val="18"/>
          <w:color w:val="auto"/>
        </w:rPr>
        <w:t>foregoing</w:t>
        <w:tab/>
        <w:t>provisions,</w:t>
        <w:tab/>
        <w:t>we</w:t>
        <w:tab/>
        <w:t>have</w:t>
        <w:tab/>
        <w:t>been</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informed that in the opinion of the SEC,</w:t>
      </w:r>
    </w:p>
    <w:p>
      <w:pPr>
        <w:ind w:left="220"/>
        <w:spacing w:after="0" w:line="234" w:lineRule="auto"/>
        <w:rPr>
          <w:sz w:val="20"/>
          <w:szCs w:val="20"/>
          <w:color w:val="auto"/>
        </w:rPr>
      </w:pPr>
      <w:r>
        <w:rPr>
          <w:rFonts w:ascii="Times New Roman" w:cs="Times New Roman" w:eastAsia="Times New Roman" w:hAnsi="Times New Roman"/>
          <w:sz w:val="18"/>
          <w:szCs w:val="18"/>
          <w:color w:val="auto"/>
        </w:rPr>
        <w:t>such indemnification is against public</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policy as expressed in the Securities Act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and is therefore unenforceable.</w:t>
      </w:r>
    </w:p>
    <w:tbl>
      <w:tblPr>
        <w:tblLayout w:type="fixed"/>
        <w:tblInd w:w="0" w:type="dxa"/>
        <w:tblCellMar>
          <w:top w:w="0" w:type="dxa"/>
          <w:left w:w="0" w:type="dxa"/>
          <w:bottom w:w="0" w:type="dxa"/>
          <w:right w:w="0" w:type="dxa"/>
        </w:tblCellMar>
      </w:tblPr>
      <w:tr>
        <w:trPr>
          <w:trHeight w:val="355"/>
        </w:trPr>
        <w:tc>
          <w:tcPr>
            <w:tcW w:w="4080" w:type="dxa"/>
            <w:vAlign w:val="bottom"/>
            <w:gridSpan w:val="9"/>
          </w:tcPr>
          <w:p>
            <w:pPr>
              <w:jc w:val="center"/>
              <w:ind w:right="10"/>
              <w:spacing w:after="0" w:line="35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As a matter of Cayman Islands law, a</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Under</w:t>
            </w: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corporate</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law,</w:t>
            </w:r>
          </w:p>
        </w:tc>
        <w:tc>
          <w:tcPr>
            <w:tcW w:w="260" w:type="dxa"/>
            <w:vAlign w:val="bottom"/>
          </w:tcPr>
          <w:p>
            <w:pPr>
              <w:jc w:val="right"/>
              <w:spacing w:after="0" w:line="354" w:lineRule="exact"/>
              <w:rPr>
                <w:sz w:val="20"/>
                <w:szCs w:val="20"/>
                <w:color w:val="auto"/>
              </w:rPr>
            </w:pPr>
            <w:r>
              <w:rPr>
                <w:rFonts w:ascii="Times New Roman" w:cs="Times New Roman" w:eastAsia="Times New Roman" w:hAnsi="Times New Roman"/>
                <w:sz w:val="35"/>
                <w:szCs w:val="35"/>
                <w:color w:val="auto"/>
                <w:vertAlign w:val="subscript"/>
              </w:rPr>
              <w:t>a</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400" w:type="dxa"/>
            <w:vAlign w:val="bottom"/>
            <w:gridSpan w:val="7"/>
          </w:tcPr>
          <w:p>
            <w:pPr>
              <w:ind w:left="220"/>
              <w:spacing w:after="0" w:line="202" w:lineRule="exact"/>
              <w:rPr>
                <w:sz w:val="20"/>
                <w:szCs w:val="20"/>
                <w:color w:val="auto"/>
              </w:rPr>
            </w:pPr>
            <w:r>
              <w:rPr>
                <w:rFonts w:ascii="Times New Roman" w:cs="Times New Roman" w:eastAsia="Times New Roman" w:hAnsi="Times New Roman"/>
                <w:sz w:val="18"/>
                <w:szCs w:val="18"/>
                <w:color w:val="auto"/>
              </w:rPr>
              <w:t>director of a Cayman Islands company</w:t>
            </w:r>
          </w:p>
        </w:tc>
        <w:tc>
          <w:tcPr>
            <w:tcW w:w="3240" w:type="dxa"/>
            <w:vAlign w:val="bottom"/>
            <w:gridSpan w:val="10"/>
          </w:tcPr>
          <w:p>
            <w:pPr>
              <w:ind w:left="120"/>
              <w:spacing w:after="0" w:line="202" w:lineRule="exact"/>
              <w:rPr>
                <w:sz w:val="20"/>
                <w:szCs w:val="20"/>
                <w:color w:val="auto"/>
              </w:rPr>
            </w:pPr>
            <w:r>
              <w:rPr>
                <w:rFonts w:ascii="Times New Roman" w:cs="Times New Roman" w:eastAsia="Times New Roman" w:hAnsi="Times New Roman"/>
                <w:sz w:val="18"/>
                <w:szCs w:val="18"/>
                <w:color w:val="auto"/>
              </w:rPr>
              <w:t>director of a Delaware corporation has a</w:t>
            </w:r>
          </w:p>
        </w:tc>
        <w:tc>
          <w:tcPr>
            <w:tcW w:w="0" w:type="dxa"/>
            <w:vAlign w:val="bottom"/>
          </w:tcPr>
          <w:p>
            <w:pPr>
              <w:spacing w:after="0"/>
              <w:rPr>
                <w:sz w:val="1"/>
                <w:szCs w:val="1"/>
                <w:color w:val="auto"/>
              </w:rPr>
            </w:pPr>
          </w:p>
        </w:tc>
      </w:tr>
      <w:tr>
        <w:trPr>
          <w:trHeight w:val="203"/>
        </w:trPr>
        <w:tc>
          <w:tcPr>
            <w:tcW w:w="3400" w:type="dxa"/>
            <w:vAlign w:val="bottom"/>
            <w:gridSpan w:val="7"/>
          </w:tcPr>
          <w:p>
            <w:pPr>
              <w:ind w:left="220"/>
              <w:spacing w:after="0" w:line="202" w:lineRule="exact"/>
              <w:rPr>
                <w:sz w:val="20"/>
                <w:szCs w:val="20"/>
                <w:color w:val="auto"/>
              </w:rPr>
            </w:pPr>
            <w:r>
              <w:rPr>
                <w:rFonts w:ascii="Times New Roman" w:cs="Times New Roman" w:eastAsia="Times New Roman" w:hAnsi="Times New Roman"/>
                <w:sz w:val="18"/>
                <w:szCs w:val="18"/>
                <w:color w:val="auto"/>
              </w:rPr>
              <w:t>is in the position of a fiduciary with</w:t>
            </w:r>
          </w:p>
        </w:tc>
        <w:tc>
          <w:tcPr>
            <w:tcW w:w="3240" w:type="dxa"/>
            <w:vAlign w:val="bottom"/>
            <w:gridSpan w:val="10"/>
          </w:tcPr>
          <w:p>
            <w:pPr>
              <w:ind w:left="120"/>
              <w:spacing w:after="0" w:line="202" w:lineRule="exact"/>
              <w:rPr>
                <w:sz w:val="20"/>
                <w:szCs w:val="20"/>
                <w:color w:val="auto"/>
              </w:rPr>
            </w:pPr>
            <w:r>
              <w:rPr>
                <w:rFonts w:ascii="Times New Roman" w:cs="Times New Roman" w:eastAsia="Times New Roman" w:hAnsi="Times New Roman"/>
                <w:sz w:val="18"/>
                <w:szCs w:val="18"/>
                <w:color w:val="auto"/>
              </w:rPr>
              <w:t>fiduciary duty to the corporation and its</w:t>
            </w:r>
          </w:p>
        </w:tc>
        <w:tc>
          <w:tcPr>
            <w:tcW w:w="0" w:type="dxa"/>
            <w:vAlign w:val="bottom"/>
          </w:tcPr>
          <w:p>
            <w:pPr>
              <w:spacing w:after="0"/>
              <w:rPr>
                <w:sz w:val="1"/>
                <w:szCs w:val="1"/>
                <w:color w:val="auto"/>
              </w:rPr>
            </w:pPr>
          </w:p>
        </w:tc>
      </w:tr>
      <w:tr>
        <w:trPr>
          <w:trHeight w:val="216"/>
        </w:trPr>
        <w:tc>
          <w:tcPr>
            <w:tcW w:w="34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respect to the company and therefore it</w:t>
            </w:r>
          </w:p>
        </w:tc>
        <w:tc>
          <w:tcPr>
            <w:tcW w:w="324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shareholders.   This   duty   has   two</w:t>
            </w:r>
          </w:p>
        </w:tc>
        <w:tc>
          <w:tcPr>
            <w:tcW w:w="0" w:type="dxa"/>
            <w:vAlign w:val="bottom"/>
          </w:tcPr>
          <w:p>
            <w:pPr>
              <w:spacing w:after="0"/>
              <w:rPr>
                <w:sz w:val="1"/>
                <w:szCs w:val="1"/>
                <w:color w:val="auto"/>
              </w:rPr>
            </w:pPr>
          </w:p>
        </w:tc>
      </w:tr>
      <w:tr>
        <w:trPr>
          <w:trHeight w:val="203"/>
        </w:trPr>
        <w:tc>
          <w:tcPr>
            <w:tcW w:w="3400" w:type="dxa"/>
            <w:vAlign w:val="bottom"/>
            <w:gridSpan w:val="7"/>
          </w:tcPr>
          <w:p>
            <w:pPr>
              <w:ind w:left="220"/>
              <w:spacing w:after="0" w:line="202" w:lineRule="exact"/>
              <w:rPr>
                <w:sz w:val="20"/>
                <w:szCs w:val="20"/>
                <w:color w:val="auto"/>
              </w:rPr>
            </w:pPr>
            <w:r>
              <w:rPr>
                <w:rFonts w:ascii="Times New Roman" w:cs="Times New Roman" w:eastAsia="Times New Roman" w:hAnsi="Times New Roman"/>
                <w:sz w:val="18"/>
                <w:szCs w:val="18"/>
                <w:color w:val="auto"/>
              </w:rPr>
              <w:t>is considered that he owes the following</w:t>
            </w:r>
          </w:p>
        </w:tc>
        <w:tc>
          <w:tcPr>
            <w:tcW w:w="3240" w:type="dxa"/>
            <w:vAlign w:val="bottom"/>
            <w:gridSpan w:val="10"/>
          </w:tcPr>
          <w:p>
            <w:pPr>
              <w:ind w:left="120"/>
              <w:spacing w:after="0" w:line="202" w:lineRule="exact"/>
              <w:rPr>
                <w:sz w:val="20"/>
                <w:szCs w:val="20"/>
                <w:color w:val="auto"/>
              </w:rPr>
            </w:pPr>
            <w:r>
              <w:rPr>
                <w:rFonts w:ascii="Times New Roman" w:cs="Times New Roman" w:eastAsia="Times New Roman" w:hAnsi="Times New Roman"/>
                <w:sz w:val="18"/>
                <w:szCs w:val="18"/>
                <w:color w:val="auto"/>
              </w:rPr>
              <w:t>components: the duty of care and the</w:t>
            </w:r>
          </w:p>
        </w:tc>
        <w:tc>
          <w:tcPr>
            <w:tcW w:w="0" w:type="dxa"/>
            <w:vAlign w:val="bottom"/>
          </w:tcPr>
          <w:p>
            <w:pPr>
              <w:spacing w:after="0"/>
              <w:rPr>
                <w:sz w:val="1"/>
                <w:szCs w:val="1"/>
                <w:color w:val="auto"/>
              </w:rPr>
            </w:pPr>
          </w:p>
        </w:tc>
      </w:tr>
      <w:tr>
        <w:trPr>
          <w:trHeight w:val="203"/>
        </w:trPr>
        <w:tc>
          <w:tcPr>
            <w:tcW w:w="3400" w:type="dxa"/>
            <w:vAlign w:val="bottom"/>
            <w:gridSpan w:val="7"/>
          </w:tcPr>
          <w:p>
            <w:pPr>
              <w:ind w:left="220"/>
              <w:spacing w:after="0" w:line="202" w:lineRule="exact"/>
              <w:rPr>
                <w:sz w:val="20"/>
                <w:szCs w:val="20"/>
                <w:color w:val="auto"/>
              </w:rPr>
            </w:pPr>
            <w:r>
              <w:rPr>
                <w:rFonts w:ascii="Times New Roman" w:cs="Times New Roman" w:eastAsia="Times New Roman" w:hAnsi="Times New Roman"/>
                <w:sz w:val="18"/>
                <w:szCs w:val="18"/>
                <w:color w:val="auto"/>
              </w:rPr>
              <w:t>duties to the company — a duty to act in</w:t>
            </w:r>
          </w:p>
        </w:tc>
        <w:tc>
          <w:tcPr>
            <w:tcW w:w="3240" w:type="dxa"/>
            <w:vAlign w:val="bottom"/>
            <w:gridSpan w:val="10"/>
          </w:tcPr>
          <w:p>
            <w:pPr>
              <w:ind w:left="120"/>
              <w:spacing w:after="0" w:line="202" w:lineRule="exact"/>
              <w:rPr>
                <w:sz w:val="20"/>
                <w:szCs w:val="20"/>
                <w:color w:val="auto"/>
              </w:rPr>
            </w:pPr>
            <w:r>
              <w:rPr>
                <w:rFonts w:ascii="Times New Roman" w:cs="Times New Roman" w:eastAsia="Times New Roman" w:hAnsi="Times New Roman"/>
                <w:sz w:val="18"/>
                <w:szCs w:val="18"/>
                <w:color w:val="auto"/>
              </w:rPr>
              <w:t>duty  of  loyalty.  The  duty  of  care</w:t>
            </w:r>
          </w:p>
        </w:tc>
        <w:tc>
          <w:tcPr>
            <w:tcW w:w="0" w:type="dxa"/>
            <w:vAlign w:val="bottom"/>
          </w:tcPr>
          <w:p>
            <w:pPr>
              <w:spacing w:after="0"/>
              <w:rPr>
                <w:sz w:val="1"/>
                <w:szCs w:val="1"/>
                <w:color w:val="auto"/>
              </w:rPr>
            </w:pPr>
          </w:p>
        </w:tc>
      </w:tr>
      <w:tr>
        <w:trPr>
          <w:trHeight w:val="216"/>
        </w:trPr>
        <w:tc>
          <w:tcPr>
            <w:tcW w:w="34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good faith in the best interests of the</w:t>
            </w:r>
          </w:p>
        </w:tc>
        <w:tc>
          <w:tcPr>
            <w:tcW w:w="324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requires that a director act in good faith,</w:t>
            </w:r>
          </w:p>
        </w:tc>
        <w:tc>
          <w:tcPr>
            <w:tcW w:w="0" w:type="dxa"/>
            <w:vAlign w:val="bottom"/>
          </w:tcPr>
          <w:p>
            <w:pPr>
              <w:spacing w:after="0"/>
              <w:rPr>
                <w:sz w:val="1"/>
                <w:szCs w:val="1"/>
                <w:color w:val="auto"/>
              </w:rPr>
            </w:pPr>
          </w:p>
        </w:tc>
      </w:tr>
      <w:tr>
        <w:trPr>
          <w:trHeight w:val="203"/>
        </w:trPr>
        <w:tc>
          <w:tcPr>
            <w:tcW w:w="3400" w:type="dxa"/>
            <w:vAlign w:val="bottom"/>
            <w:gridSpan w:val="7"/>
          </w:tcPr>
          <w:p>
            <w:pPr>
              <w:ind w:left="220"/>
              <w:spacing w:after="0" w:line="202" w:lineRule="exact"/>
              <w:rPr>
                <w:sz w:val="20"/>
                <w:szCs w:val="20"/>
                <w:color w:val="auto"/>
              </w:rPr>
            </w:pPr>
            <w:r>
              <w:rPr>
                <w:rFonts w:ascii="Times New Roman" w:cs="Times New Roman" w:eastAsia="Times New Roman" w:hAnsi="Times New Roman"/>
                <w:sz w:val="18"/>
                <w:szCs w:val="18"/>
                <w:color w:val="auto"/>
              </w:rPr>
              <w:t>company, a duty not to make a personal</w:t>
            </w:r>
          </w:p>
        </w:tc>
        <w:tc>
          <w:tcPr>
            <w:tcW w:w="3240" w:type="dxa"/>
            <w:vAlign w:val="bottom"/>
            <w:gridSpan w:val="10"/>
          </w:tcPr>
          <w:p>
            <w:pPr>
              <w:ind w:left="120"/>
              <w:spacing w:after="0" w:line="202" w:lineRule="exact"/>
              <w:rPr>
                <w:sz w:val="20"/>
                <w:szCs w:val="20"/>
                <w:color w:val="auto"/>
              </w:rPr>
            </w:pPr>
            <w:r>
              <w:rPr>
                <w:rFonts w:ascii="Times New Roman" w:cs="Times New Roman" w:eastAsia="Times New Roman" w:hAnsi="Times New Roman"/>
                <w:sz w:val="18"/>
                <w:szCs w:val="18"/>
                <w:color w:val="auto"/>
              </w:rPr>
              <w:t>with the care that an ordinarily prudent</w:t>
            </w:r>
          </w:p>
        </w:tc>
        <w:tc>
          <w:tcPr>
            <w:tcW w:w="0" w:type="dxa"/>
            <w:vAlign w:val="bottom"/>
          </w:tcPr>
          <w:p>
            <w:pPr>
              <w:spacing w:after="0"/>
              <w:rPr>
                <w:sz w:val="1"/>
                <w:szCs w:val="1"/>
                <w:color w:val="auto"/>
              </w:rPr>
            </w:pPr>
          </w:p>
        </w:tc>
      </w:tr>
      <w:tr>
        <w:trPr>
          <w:trHeight w:val="203"/>
        </w:trPr>
        <w:tc>
          <w:tcPr>
            <w:tcW w:w="3400" w:type="dxa"/>
            <w:vAlign w:val="bottom"/>
            <w:gridSpan w:val="7"/>
          </w:tcPr>
          <w:p>
            <w:pPr>
              <w:ind w:left="220"/>
              <w:spacing w:after="0" w:line="202" w:lineRule="exact"/>
              <w:rPr>
                <w:sz w:val="20"/>
                <w:szCs w:val="20"/>
                <w:color w:val="auto"/>
              </w:rPr>
            </w:pPr>
            <w:r>
              <w:rPr>
                <w:rFonts w:ascii="Times New Roman" w:cs="Times New Roman" w:eastAsia="Times New Roman" w:hAnsi="Times New Roman"/>
                <w:sz w:val="18"/>
                <w:szCs w:val="18"/>
                <w:color w:val="auto"/>
              </w:rPr>
              <w:t>profit based on his position as director</w:t>
            </w:r>
          </w:p>
        </w:tc>
        <w:tc>
          <w:tcPr>
            <w:tcW w:w="3240" w:type="dxa"/>
            <w:vAlign w:val="bottom"/>
            <w:gridSpan w:val="10"/>
          </w:tcPr>
          <w:p>
            <w:pPr>
              <w:ind w:left="120"/>
              <w:spacing w:after="0" w:line="202" w:lineRule="exact"/>
              <w:rPr>
                <w:sz w:val="20"/>
                <w:szCs w:val="20"/>
                <w:color w:val="auto"/>
              </w:rPr>
            </w:pPr>
            <w:r>
              <w:rPr>
                <w:rFonts w:ascii="Times New Roman" w:cs="Times New Roman" w:eastAsia="Times New Roman" w:hAnsi="Times New Roman"/>
                <w:sz w:val="18"/>
                <w:szCs w:val="18"/>
                <w:color w:val="auto"/>
              </w:rPr>
              <w:t>person  would  exercise  under  similar</w:t>
            </w:r>
          </w:p>
        </w:tc>
        <w:tc>
          <w:tcPr>
            <w:tcW w:w="0" w:type="dxa"/>
            <w:vAlign w:val="bottom"/>
          </w:tcPr>
          <w:p>
            <w:pPr>
              <w:spacing w:after="0"/>
              <w:rPr>
                <w:sz w:val="1"/>
                <w:szCs w:val="1"/>
                <w:color w:val="auto"/>
              </w:rPr>
            </w:pPr>
          </w:p>
        </w:tc>
      </w:tr>
      <w:tr>
        <w:trPr>
          <w:trHeight w:val="216"/>
        </w:trPr>
        <w:tc>
          <w:tcPr>
            <w:tcW w:w="34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(unless the company permits him to do</w:t>
            </w:r>
          </w:p>
        </w:tc>
        <w:tc>
          <w:tcPr>
            <w:tcW w:w="324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circumstances.  Under  this  duty,  a</w:t>
            </w:r>
          </w:p>
        </w:tc>
        <w:tc>
          <w:tcPr>
            <w:tcW w:w="0" w:type="dxa"/>
            <w:vAlign w:val="bottom"/>
          </w:tcPr>
          <w:p>
            <w:pPr>
              <w:spacing w:after="0"/>
              <w:rPr>
                <w:sz w:val="1"/>
                <w:szCs w:val="1"/>
                <w:color w:val="auto"/>
              </w:rPr>
            </w:pPr>
          </w:p>
        </w:tc>
      </w:tr>
      <w:tr>
        <w:trPr>
          <w:trHeight w:val="203"/>
        </w:trPr>
        <w:tc>
          <w:tcPr>
            <w:tcW w:w="3400" w:type="dxa"/>
            <w:vAlign w:val="bottom"/>
            <w:gridSpan w:val="7"/>
          </w:tcPr>
          <w:p>
            <w:pPr>
              <w:ind w:left="220"/>
              <w:spacing w:after="0" w:line="202" w:lineRule="exact"/>
              <w:rPr>
                <w:sz w:val="20"/>
                <w:szCs w:val="20"/>
                <w:color w:val="auto"/>
              </w:rPr>
            </w:pPr>
            <w:r>
              <w:rPr>
                <w:rFonts w:ascii="Times New Roman" w:cs="Times New Roman" w:eastAsia="Times New Roman" w:hAnsi="Times New Roman"/>
                <w:sz w:val="18"/>
                <w:szCs w:val="18"/>
                <w:color w:val="auto"/>
              </w:rPr>
              <w:t>so),  a  duty  not  to  put  himself  in  a</w:t>
            </w:r>
          </w:p>
        </w:tc>
        <w:tc>
          <w:tcPr>
            <w:tcW w:w="3240" w:type="dxa"/>
            <w:vAlign w:val="bottom"/>
            <w:gridSpan w:val="10"/>
          </w:tcPr>
          <w:p>
            <w:pPr>
              <w:ind w:left="120"/>
              <w:spacing w:after="0" w:line="202" w:lineRule="exact"/>
              <w:rPr>
                <w:sz w:val="20"/>
                <w:szCs w:val="20"/>
                <w:color w:val="auto"/>
              </w:rPr>
            </w:pPr>
            <w:r>
              <w:rPr>
                <w:rFonts w:ascii="Times New Roman" w:cs="Times New Roman" w:eastAsia="Times New Roman" w:hAnsi="Times New Roman"/>
                <w:sz w:val="18"/>
                <w:szCs w:val="18"/>
                <w:color w:val="auto"/>
              </w:rPr>
              <w:t>director must inform himself of, and</w:t>
            </w:r>
          </w:p>
        </w:tc>
        <w:tc>
          <w:tcPr>
            <w:tcW w:w="0" w:type="dxa"/>
            <w:vAlign w:val="bottom"/>
          </w:tcPr>
          <w:p>
            <w:pPr>
              <w:spacing w:after="0"/>
              <w:rPr>
                <w:sz w:val="1"/>
                <w:szCs w:val="1"/>
                <w:color w:val="auto"/>
              </w:rPr>
            </w:pPr>
          </w:p>
        </w:tc>
      </w:tr>
      <w:tr>
        <w:trPr>
          <w:trHeight w:val="203"/>
        </w:trPr>
        <w:tc>
          <w:tcPr>
            <w:tcW w:w="3400" w:type="dxa"/>
            <w:vAlign w:val="bottom"/>
            <w:gridSpan w:val="7"/>
          </w:tcPr>
          <w:p>
            <w:pPr>
              <w:ind w:left="220"/>
              <w:spacing w:after="0" w:line="202" w:lineRule="exact"/>
              <w:rPr>
                <w:sz w:val="20"/>
                <w:szCs w:val="20"/>
                <w:color w:val="auto"/>
              </w:rPr>
            </w:pPr>
            <w:r>
              <w:rPr>
                <w:rFonts w:ascii="Times New Roman" w:cs="Times New Roman" w:eastAsia="Times New Roman" w:hAnsi="Times New Roman"/>
                <w:sz w:val="18"/>
                <w:szCs w:val="18"/>
                <w:color w:val="auto"/>
              </w:rPr>
              <w:t>position  where  the  interests  of  the</w:t>
            </w:r>
          </w:p>
        </w:tc>
        <w:tc>
          <w:tcPr>
            <w:tcW w:w="3240" w:type="dxa"/>
            <w:vAlign w:val="bottom"/>
            <w:gridSpan w:val="10"/>
          </w:tcPr>
          <w:p>
            <w:pPr>
              <w:ind w:left="120"/>
              <w:spacing w:after="0" w:line="202" w:lineRule="exact"/>
              <w:rPr>
                <w:sz w:val="20"/>
                <w:szCs w:val="20"/>
                <w:color w:val="auto"/>
              </w:rPr>
            </w:pPr>
            <w:r>
              <w:rPr>
                <w:rFonts w:ascii="Times New Roman" w:cs="Times New Roman" w:eastAsia="Times New Roman" w:hAnsi="Times New Roman"/>
                <w:sz w:val="18"/>
                <w:szCs w:val="18"/>
                <w:color w:val="auto"/>
              </w:rPr>
              <w:t>disclose  to  shareholders,  all  material</w:t>
            </w:r>
          </w:p>
        </w:tc>
        <w:tc>
          <w:tcPr>
            <w:tcW w:w="0" w:type="dxa"/>
            <w:vAlign w:val="bottom"/>
          </w:tcPr>
          <w:p>
            <w:pPr>
              <w:spacing w:after="0"/>
              <w:rPr>
                <w:sz w:val="1"/>
                <w:szCs w:val="1"/>
                <w:color w:val="auto"/>
              </w:rPr>
            </w:pPr>
          </w:p>
        </w:tc>
      </w:tr>
      <w:tr>
        <w:trPr>
          <w:trHeight w:val="216"/>
        </w:trPr>
        <w:tc>
          <w:tcPr>
            <w:tcW w:w="34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company  conflict  with  his  personal</w:t>
            </w:r>
          </w:p>
        </w:tc>
        <w:tc>
          <w:tcPr>
            <w:tcW w:w="1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information</w:t>
            </w:r>
          </w:p>
        </w:tc>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reasonably</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available</w:t>
            </w:r>
          </w:p>
        </w:tc>
        <w:tc>
          <w:tcPr>
            <w:tcW w:w="0" w:type="dxa"/>
            <w:vAlign w:val="bottom"/>
          </w:tcPr>
          <w:p>
            <w:pPr>
              <w:spacing w:after="0"/>
              <w:rPr>
                <w:sz w:val="1"/>
                <w:szCs w:val="1"/>
                <w:color w:val="auto"/>
              </w:rPr>
            </w:pPr>
          </w:p>
        </w:tc>
      </w:tr>
      <w:tr>
        <w:trPr>
          <w:trHeight w:val="203"/>
        </w:trPr>
        <w:tc>
          <w:tcPr>
            <w:tcW w:w="3400" w:type="dxa"/>
            <w:vAlign w:val="bottom"/>
            <w:gridSpan w:val="7"/>
          </w:tcPr>
          <w:p>
            <w:pPr>
              <w:ind w:left="220"/>
              <w:spacing w:after="0" w:line="202" w:lineRule="exact"/>
              <w:rPr>
                <w:sz w:val="20"/>
                <w:szCs w:val="20"/>
                <w:color w:val="auto"/>
              </w:rPr>
            </w:pPr>
            <w:r>
              <w:rPr>
                <w:rFonts w:ascii="Times New Roman" w:cs="Times New Roman" w:eastAsia="Times New Roman" w:hAnsi="Times New Roman"/>
                <w:sz w:val="18"/>
                <w:szCs w:val="18"/>
                <w:color w:val="auto"/>
              </w:rPr>
              <w:t>interest or his duty to a third party and a</w:t>
            </w:r>
          </w:p>
        </w:tc>
        <w:tc>
          <w:tcPr>
            <w:tcW w:w="2840" w:type="dxa"/>
            <w:vAlign w:val="bottom"/>
            <w:gridSpan w:val="8"/>
          </w:tcPr>
          <w:p>
            <w:pPr>
              <w:ind w:left="120"/>
              <w:spacing w:after="0" w:line="202" w:lineRule="exact"/>
              <w:rPr>
                <w:sz w:val="20"/>
                <w:szCs w:val="20"/>
                <w:color w:val="auto"/>
              </w:rPr>
            </w:pPr>
            <w:r>
              <w:rPr>
                <w:rFonts w:ascii="Times New Roman" w:cs="Times New Roman" w:eastAsia="Times New Roman" w:hAnsi="Times New Roman"/>
                <w:sz w:val="18"/>
                <w:szCs w:val="18"/>
                <w:color w:val="auto"/>
              </w:rPr>
              <w:t>regarding a significant transaction.</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7"/>
          </w:tcPr>
          <w:p>
            <w:pPr>
              <w:ind w:left="220"/>
              <w:spacing w:after="0" w:line="202" w:lineRule="exact"/>
              <w:rPr>
                <w:sz w:val="20"/>
                <w:szCs w:val="20"/>
                <w:color w:val="auto"/>
              </w:rPr>
            </w:pPr>
            <w:r>
              <w:rPr>
                <w:rFonts w:ascii="Times New Roman" w:cs="Times New Roman" w:eastAsia="Times New Roman" w:hAnsi="Times New Roman"/>
                <w:sz w:val="18"/>
                <w:szCs w:val="18"/>
                <w:color w:val="auto"/>
              </w:rPr>
              <w:t>duty to exercise powers for the purpose</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2"/>
              </w:rPr>
              <w:t>The</w:t>
            </w:r>
          </w:p>
        </w:tc>
        <w:tc>
          <w:tcPr>
            <w:tcW w:w="5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duty</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18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8"/>
                <w:szCs w:val="18"/>
                <w:color w:val="auto"/>
              </w:rPr>
              <w:t>loyalty  requires  that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108"/>
        </w:trPr>
        <w:tc>
          <w:tcPr>
            <w:tcW w:w="3400" w:type="dxa"/>
            <w:vAlign w:val="bottom"/>
            <w:gridSpan w:val="7"/>
            <w:vMerge w:val="restart"/>
          </w:tcPr>
          <w:p>
            <w:pPr>
              <w:ind w:left="220"/>
              <w:spacing w:after="0"/>
              <w:rPr>
                <w:sz w:val="20"/>
                <w:szCs w:val="20"/>
                <w:color w:val="auto"/>
              </w:rPr>
            </w:pPr>
            <w:r>
              <w:rPr>
                <w:rFonts w:ascii="Times New Roman" w:cs="Times New Roman" w:eastAsia="Times New Roman" w:hAnsi="Times New Roman"/>
                <w:sz w:val="18"/>
                <w:szCs w:val="18"/>
                <w:color w:val="auto"/>
              </w:rPr>
              <w:t>for which such powers were intended. A</w:t>
            </w:r>
          </w:p>
        </w:tc>
        <w:tc>
          <w:tcPr>
            <w:tcW w:w="40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7"/>
            <w:vMerge w:val="continue"/>
          </w:tcPr>
          <w:p>
            <w:pPr>
              <w:spacing w:after="0"/>
              <w:rPr>
                <w:sz w:val="9"/>
                <w:szCs w:val="9"/>
                <w:color w:val="auto"/>
              </w:rPr>
            </w:pPr>
          </w:p>
        </w:tc>
        <w:tc>
          <w:tcPr>
            <w:tcW w:w="3240" w:type="dxa"/>
            <w:vAlign w:val="bottom"/>
            <w:gridSpan w:val="10"/>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 acts in a manner he reasonably</w:t>
            </w:r>
          </w:p>
        </w:tc>
        <w:tc>
          <w:tcPr>
            <w:tcW w:w="0" w:type="dxa"/>
            <w:vAlign w:val="bottom"/>
          </w:tcPr>
          <w:p>
            <w:pPr>
              <w:spacing w:after="0"/>
              <w:rPr>
                <w:sz w:val="1"/>
                <w:szCs w:val="1"/>
                <w:color w:val="auto"/>
              </w:rPr>
            </w:pPr>
          </w:p>
        </w:tc>
      </w:tr>
      <w:tr>
        <w:trPr>
          <w:trHeight w:val="108"/>
        </w:trPr>
        <w:tc>
          <w:tcPr>
            <w:tcW w:w="3400" w:type="dxa"/>
            <w:vAlign w:val="bottom"/>
            <w:gridSpan w:val="7"/>
            <w:vMerge w:val="restart"/>
          </w:tcPr>
          <w:p>
            <w:pPr>
              <w:ind w:left="220"/>
              <w:spacing w:after="0" w:line="202" w:lineRule="exact"/>
              <w:rPr>
                <w:sz w:val="20"/>
                <w:szCs w:val="20"/>
                <w:color w:val="auto"/>
              </w:rPr>
            </w:pPr>
            <w:r>
              <w:rPr>
                <w:rFonts w:ascii="Times New Roman" w:cs="Times New Roman" w:eastAsia="Times New Roman" w:hAnsi="Times New Roman"/>
                <w:sz w:val="18"/>
                <w:szCs w:val="18"/>
                <w:color w:val="auto"/>
              </w:rPr>
              <w:t>director of a Cayman Islands company</w:t>
            </w:r>
          </w:p>
        </w:tc>
        <w:tc>
          <w:tcPr>
            <w:tcW w:w="32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400" w:type="dxa"/>
            <w:vAlign w:val="bottom"/>
            <w:gridSpan w:val="7"/>
            <w:vMerge w:val="continue"/>
          </w:tcPr>
          <w:p>
            <w:pPr>
              <w:spacing w:after="0"/>
              <w:rPr>
                <w:sz w:val="8"/>
                <w:szCs w:val="8"/>
                <w:color w:val="auto"/>
              </w:rPr>
            </w:pPr>
          </w:p>
        </w:tc>
        <w:tc>
          <w:tcPr>
            <w:tcW w:w="3240" w:type="dxa"/>
            <w:vAlign w:val="bottom"/>
            <w:gridSpan w:val="10"/>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auto"/>
              </w:rPr>
              <w:t>believes to be in the best interests of the</w:t>
            </w:r>
          </w:p>
        </w:tc>
        <w:tc>
          <w:tcPr>
            <w:tcW w:w="0" w:type="dxa"/>
            <w:vAlign w:val="bottom"/>
          </w:tcPr>
          <w:p>
            <w:pPr>
              <w:spacing w:after="0"/>
              <w:rPr>
                <w:sz w:val="1"/>
                <w:szCs w:val="1"/>
                <w:color w:val="auto"/>
              </w:rPr>
            </w:pPr>
          </w:p>
        </w:tc>
      </w:tr>
      <w:tr>
        <w:trPr>
          <w:trHeight w:val="108"/>
        </w:trPr>
        <w:tc>
          <w:tcPr>
            <w:tcW w:w="3400" w:type="dxa"/>
            <w:vAlign w:val="bottom"/>
            <w:gridSpan w:val="7"/>
            <w:vMerge w:val="restart"/>
          </w:tcPr>
          <w:p>
            <w:pPr>
              <w:ind w:left="220"/>
              <w:spacing w:after="0" w:line="202" w:lineRule="exact"/>
              <w:rPr>
                <w:sz w:val="20"/>
                <w:szCs w:val="20"/>
                <w:color w:val="auto"/>
              </w:rPr>
            </w:pPr>
            <w:r>
              <w:rPr>
                <w:rFonts w:ascii="Times New Roman" w:cs="Times New Roman" w:eastAsia="Times New Roman" w:hAnsi="Times New Roman"/>
                <w:sz w:val="18"/>
                <w:szCs w:val="18"/>
                <w:color w:val="auto"/>
              </w:rPr>
              <w:t>owes to the company a duty to act with</w:t>
            </w:r>
          </w:p>
        </w:tc>
        <w:tc>
          <w:tcPr>
            <w:tcW w:w="32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400" w:type="dxa"/>
            <w:vAlign w:val="bottom"/>
            <w:gridSpan w:val="7"/>
            <w:vMerge w:val="continue"/>
          </w:tcPr>
          <w:p>
            <w:pPr>
              <w:spacing w:after="0"/>
              <w:rPr>
                <w:sz w:val="8"/>
                <w:szCs w:val="8"/>
                <w:color w:val="auto"/>
              </w:rPr>
            </w:pPr>
          </w:p>
        </w:tc>
        <w:tc>
          <w:tcPr>
            <w:tcW w:w="1180" w:type="dxa"/>
            <w:vAlign w:val="bottom"/>
            <w:gridSpan w:val="4"/>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auto"/>
              </w:rPr>
              <w:t>corporation.</w:t>
            </w:r>
          </w:p>
        </w:tc>
        <w:tc>
          <w:tcPr>
            <w:tcW w:w="3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He</w:t>
            </w:r>
          </w:p>
        </w:tc>
        <w:tc>
          <w:tcPr>
            <w:tcW w:w="480" w:type="dxa"/>
            <w:vAlign w:val="bottom"/>
            <w:vMerge w:val="restart"/>
          </w:tcPr>
          <w:p>
            <w:pPr>
              <w:ind w:left="60"/>
              <w:spacing w:after="0" w:line="202" w:lineRule="exact"/>
              <w:rPr>
                <w:sz w:val="20"/>
                <w:szCs w:val="20"/>
                <w:color w:val="auto"/>
              </w:rPr>
            </w:pPr>
            <w:r>
              <w:rPr>
                <w:rFonts w:ascii="Times New Roman" w:cs="Times New Roman" w:eastAsia="Times New Roman" w:hAnsi="Times New Roman"/>
                <w:sz w:val="18"/>
                <w:szCs w:val="18"/>
                <w:color w:val="auto"/>
              </w:rPr>
              <w:t>must</w:t>
            </w:r>
          </w:p>
        </w:tc>
        <w:tc>
          <w:tcPr>
            <w:tcW w:w="460" w:type="dxa"/>
            <w:vAlign w:val="bottom"/>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auto"/>
              </w:rPr>
              <w:t>not</w:t>
            </w:r>
          </w:p>
        </w:tc>
        <w:tc>
          <w:tcPr>
            <w:tcW w:w="360" w:type="dxa"/>
            <w:vAlign w:val="bottom"/>
            <w:vMerge w:val="restart"/>
          </w:tcPr>
          <w:p>
            <w:pPr>
              <w:ind w:left="60"/>
              <w:spacing w:after="0" w:line="202" w:lineRule="exact"/>
              <w:rPr>
                <w:sz w:val="20"/>
                <w:szCs w:val="20"/>
                <w:color w:val="auto"/>
              </w:rPr>
            </w:pPr>
            <w:r>
              <w:rPr>
                <w:rFonts w:ascii="Times New Roman" w:cs="Times New Roman" w:eastAsia="Times New Roman" w:hAnsi="Times New Roman"/>
                <w:sz w:val="18"/>
                <w:szCs w:val="18"/>
                <w:color w:val="auto"/>
              </w:rPr>
              <w:t>use</w:t>
            </w:r>
          </w:p>
        </w:tc>
        <w:tc>
          <w:tcPr>
            <w:tcW w:w="140" w:type="dxa"/>
            <w:vAlign w:val="bottom"/>
          </w:tcPr>
          <w:p>
            <w:pPr>
              <w:spacing w:after="0"/>
              <w:rPr>
                <w:sz w:val="8"/>
                <w:szCs w:val="8"/>
                <w:color w:val="auto"/>
              </w:rPr>
            </w:pPr>
          </w:p>
        </w:tc>
        <w:tc>
          <w:tcPr>
            <w:tcW w:w="2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w w:val="85"/>
              </w:rPr>
              <w:t>his</w:t>
            </w:r>
          </w:p>
        </w:tc>
        <w:tc>
          <w:tcPr>
            <w:tcW w:w="0" w:type="dxa"/>
            <w:vAlign w:val="bottom"/>
          </w:tcPr>
          <w:p>
            <w:pPr>
              <w:spacing w:after="0"/>
              <w:rPr>
                <w:sz w:val="1"/>
                <w:szCs w:val="1"/>
                <w:color w:val="auto"/>
              </w:rPr>
            </w:pPr>
          </w:p>
        </w:tc>
      </w:tr>
      <w:tr>
        <w:trPr>
          <w:trHeight w:val="108"/>
        </w:trPr>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skill</w:t>
            </w: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and</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care.</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was</w:t>
            </w:r>
          </w:p>
        </w:tc>
        <w:tc>
          <w:tcPr>
            <w:tcW w:w="9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previously</w:t>
            </w:r>
          </w:p>
        </w:tc>
        <w:tc>
          <w:tcPr>
            <w:tcW w:w="1180" w:type="dxa"/>
            <w:vAlign w:val="bottom"/>
            <w:gridSpan w:val="4"/>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3240" w:type="dxa"/>
            <w:vAlign w:val="bottom"/>
            <w:gridSpan w:val="10"/>
            <w:vMerge w:val="restart"/>
          </w:tcPr>
          <w:p>
            <w:pPr>
              <w:ind w:left="120"/>
              <w:spacing w:after="0"/>
              <w:rPr>
                <w:sz w:val="20"/>
                <w:szCs w:val="20"/>
                <w:color w:val="auto"/>
              </w:rPr>
            </w:pPr>
            <w:r>
              <w:rPr>
                <w:rFonts w:ascii="Times New Roman" w:cs="Times New Roman" w:eastAsia="Times New Roman" w:hAnsi="Times New Roman"/>
                <w:sz w:val="18"/>
                <w:szCs w:val="18"/>
                <w:color w:val="auto"/>
              </w:rPr>
              <w:t>corporate position for personal gain or</w:t>
            </w:r>
          </w:p>
        </w:tc>
        <w:tc>
          <w:tcPr>
            <w:tcW w:w="0" w:type="dxa"/>
            <w:vAlign w:val="bottom"/>
          </w:tcPr>
          <w:p>
            <w:pPr>
              <w:spacing w:after="0"/>
              <w:rPr>
                <w:sz w:val="1"/>
                <w:szCs w:val="1"/>
                <w:color w:val="auto"/>
              </w:rPr>
            </w:pPr>
          </w:p>
        </w:tc>
      </w:tr>
      <w:tr>
        <w:trPr>
          <w:trHeight w:val="108"/>
        </w:trPr>
        <w:tc>
          <w:tcPr>
            <w:tcW w:w="1040" w:type="dxa"/>
            <w:vAlign w:val="bottom"/>
            <w:gridSpan w:val="2"/>
            <w:vMerge w:val="restart"/>
          </w:tcPr>
          <w:p>
            <w:pPr>
              <w:ind w:left="220"/>
              <w:spacing w:after="0" w:line="202" w:lineRule="exact"/>
              <w:rPr>
                <w:sz w:val="20"/>
                <w:szCs w:val="20"/>
                <w:color w:val="auto"/>
              </w:rPr>
            </w:pPr>
            <w:r>
              <w:rPr>
                <w:rFonts w:ascii="Times New Roman" w:cs="Times New Roman" w:eastAsia="Times New Roman" w:hAnsi="Times New Roman"/>
                <w:sz w:val="18"/>
                <w:szCs w:val="18"/>
                <w:color w:val="auto"/>
              </w:rPr>
              <w:t>considered</w:t>
            </w:r>
          </w:p>
        </w:tc>
        <w:tc>
          <w:tcPr>
            <w:tcW w:w="660" w:type="dxa"/>
            <w:vAlign w:val="bottom"/>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rPr>
              <w:t>that  a</w:t>
            </w:r>
          </w:p>
        </w:tc>
        <w:tc>
          <w:tcPr>
            <w:tcW w:w="720" w:type="dxa"/>
            <w:vAlign w:val="bottom"/>
            <w:gridSpan w:val="2"/>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auto"/>
              </w:rPr>
              <w:t>director</w:t>
            </w:r>
          </w:p>
        </w:tc>
        <w:tc>
          <w:tcPr>
            <w:tcW w:w="520" w:type="dxa"/>
            <w:vAlign w:val="bottom"/>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rPr>
              <w:t>need</w:t>
            </w:r>
          </w:p>
        </w:tc>
        <w:tc>
          <w:tcPr>
            <w:tcW w:w="460" w:type="dxa"/>
            <w:vAlign w:val="bottom"/>
            <w:vMerge w:val="restart"/>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not</w:t>
            </w:r>
          </w:p>
        </w:tc>
        <w:tc>
          <w:tcPr>
            <w:tcW w:w="32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04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60" w:type="dxa"/>
            <w:vAlign w:val="bottom"/>
            <w:gridSpan w:val="3"/>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auto"/>
              </w:rPr>
              <w:t>advantage.</w:t>
            </w:r>
          </w:p>
        </w:tc>
        <w:tc>
          <w:tcPr>
            <w:tcW w:w="580" w:type="dxa"/>
            <w:vAlign w:val="bottom"/>
            <w:gridSpan w:val="2"/>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auto"/>
              </w:rPr>
              <w:t>This</w:t>
            </w:r>
          </w:p>
        </w:tc>
        <w:tc>
          <w:tcPr>
            <w:tcW w:w="48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duty</w:t>
            </w:r>
          </w:p>
        </w:tc>
        <w:tc>
          <w:tcPr>
            <w:tcW w:w="820" w:type="dxa"/>
            <w:vAlign w:val="bottom"/>
            <w:gridSpan w:val="2"/>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prohibits</w:t>
            </w:r>
          </w:p>
        </w:tc>
        <w:tc>
          <w:tcPr>
            <w:tcW w:w="400" w:type="dxa"/>
            <w:vAlign w:val="bottom"/>
            <w:gridSpan w:val="2"/>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self-</w:t>
            </w:r>
          </w:p>
        </w:tc>
        <w:tc>
          <w:tcPr>
            <w:tcW w:w="0" w:type="dxa"/>
            <w:vAlign w:val="bottom"/>
          </w:tcPr>
          <w:p>
            <w:pPr>
              <w:spacing w:after="0"/>
              <w:rPr>
                <w:sz w:val="1"/>
                <w:szCs w:val="1"/>
                <w:color w:val="auto"/>
              </w:rPr>
            </w:pPr>
          </w:p>
        </w:tc>
      </w:tr>
      <w:tr>
        <w:trPr>
          <w:trHeight w:val="108"/>
        </w:trPr>
        <w:tc>
          <w:tcPr>
            <w:tcW w:w="3400" w:type="dxa"/>
            <w:vAlign w:val="bottom"/>
            <w:gridSpan w:val="7"/>
            <w:vMerge w:val="restart"/>
          </w:tcPr>
          <w:p>
            <w:pPr>
              <w:ind w:left="220"/>
              <w:spacing w:after="0" w:line="202" w:lineRule="exact"/>
              <w:rPr>
                <w:sz w:val="20"/>
                <w:szCs w:val="20"/>
                <w:color w:val="auto"/>
              </w:rPr>
            </w:pPr>
            <w:r>
              <w:rPr>
                <w:rFonts w:ascii="Times New Roman" w:cs="Times New Roman" w:eastAsia="Times New Roman" w:hAnsi="Times New Roman"/>
                <w:sz w:val="18"/>
                <w:szCs w:val="18"/>
                <w:color w:val="auto"/>
              </w:rPr>
              <w:t>exhibit in the performance of his duties</w:t>
            </w:r>
          </w:p>
        </w:tc>
        <w:tc>
          <w:tcPr>
            <w:tcW w:w="96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400" w:type="dxa"/>
            <w:vAlign w:val="bottom"/>
            <w:gridSpan w:val="7"/>
            <w:vMerge w:val="continue"/>
          </w:tcPr>
          <w:p>
            <w:pPr>
              <w:spacing w:after="0"/>
              <w:rPr>
                <w:sz w:val="8"/>
                <w:szCs w:val="8"/>
                <w:color w:val="auto"/>
              </w:rPr>
            </w:pPr>
          </w:p>
        </w:tc>
        <w:tc>
          <w:tcPr>
            <w:tcW w:w="3240" w:type="dxa"/>
            <w:vAlign w:val="bottom"/>
            <w:gridSpan w:val="10"/>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auto"/>
              </w:rPr>
              <w:t>dealing by a director and mandates that</w:t>
            </w:r>
          </w:p>
        </w:tc>
        <w:tc>
          <w:tcPr>
            <w:tcW w:w="0" w:type="dxa"/>
            <w:vAlign w:val="bottom"/>
          </w:tcPr>
          <w:p>
            <w:pPr>
              <w:spacing w:after="0"/>
              <w:rPr>
                <w:sz w:val="1"/>
                <w:szCs w:val="1"/>
                <w:color w:val="auto"/>
              </w:rPr>
            </w:pPr>
          </w:p>
        </w:tc>
      </w:tr>
      <w:tr>
        <w:trPr>
          <w:trHeight w:val="108"/>
        </w:trPr>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a  greater</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degree</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skill</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than</w:t>
            </w: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may</w:t>
            </w:r>
          </w:p>
        </w:tc>
        <w:tc>
          <w:tcPr>
            <w:tcW w:w="32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240" w:type="dxa"/>
            <w:vAlign w:val="bottom"/>
            <w:gridSpan w:val="10"/>
            <w:vMerge w:val="restart"/>
          </w:tcPr>
          <w:p>
            <w:pPr>
              <w:ind w:left="120"/>
              <w:spacing w:after="0"/>
              <w:rPr>
                <w:sz w:val="20"/>
                <w:szCs w:val="20"/>
                <w:color w:val="auto"/>
              </w:rPr>
            </w:pPr>
            <w:r>
              <w:rPr>
                <w:rFonts w:ascii="Times New Roman" w:cs="Times New Roman" w:eastAsia="Times New Roman" w:hAnsi="Times New Roman"/>
                <w:sz w:val="18"/>
                <w:szCs w:val="18"/>
                <w:color w:val="auto"/>
              </w:rPr>
              <w:t>the best interest of the corporation and</w:t>
            </w:r>
          </w:p>
        </w:tc>
        <w:tc>
          <w:tcPr>
            <w:tcW w:w="0" w:type="dxa"/>
            <w:vAlign w:val="bottom"/>
          </w:tcPr>
          <w:p>
            <w:pPr>
              <w:spacing w:after="0"/>
              <w:rPr>
                <w:sz w:val="1"/>
                <w:szCs w:val="1"/>
                <w:color w:val="auto"/>
              </w:rPr>
            </w:pPr>
          </w:p>
        </w:tc>
      </w:tr>
      <w:tr>
        <w:trPr>
          <w:trHeight w:val="108"/>
        </w:trPr>
        <w:tc>
          <w:tcPr>
            <w:tcW w:w="3400" w:type="dxa"/>
            <w:vAlign w:val="bottom"/>
            <w:gridSpan w:val="7"/>
            <w:vMerge w:val="restart"/>
          </w:tcPr>
          <w:p>
            <w:pPr>
              <w:ind w:left="220"/>
              <w:spacing w:after="0" w:line="202" w:lineRule="exact"/>
              <w:rPr>
                <w:sz w:val="20"/>
                <w:szCs w:val="20"/>
                <w:color w:val="auto"/>
              </w:rPr>
            </w:pPr>
            <w:r>
              <w:rPr>
                <w:rFonts w:ascii="Times New Roman" w:cs="Times New Roman" w:eastAsia="Times New Roman" w:hAnsi="Times New Roman"/>
                <w:sz w:val="18"/>
                <w:szCs w:val="18"/>
                <w:color w:val="auto"/>
              </w:rPr>
              <w:t>reasonably be expected from a person of</w:t>
            </w:r>
          </w:p>
        </w:tc>
        <w:tc>
          <w:tcPr>
            <w:tcW w:w="32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400" w:type="dxa"/>
            <w:vAlign w:val="bottom"/>
            <w:gridSpan w:val="7"/>
            <w:vMerge w:val="continue"/>
          </w:tcPr>
          <w:p>
            <w:pPr>
              <w:spacing w:after="0"/>
              <w:rPr>
                <w:sz w:val="8"/>
                <w:szCs w:val="8"/>
                <w:color w:val="auto"/>
              </w:rPr>
            </w:pPr>
          </w:p>
        </w:tc>
        <w:tc>
          <w:tcPr>
            <w:tcW w:w="400" w:type="dxa"/>
            <w:vAlign w:val="bottom"/>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auto"/>
              </w:rPr>
              <w:t>its</w:t>
            </w:r>
          </w:p>
        </w:tc>
        <w:tc>
          <w:tcPr>
            <w:tcW w:w="2440" w:type="dxa"/>
            <w:vAlign w:val="bottom"/>
            <w:gridSpan w:val="7"/>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shareholders take precedence</w:t>
            </w:r>
          </w:p>
        </w:tc>
        <w:tc>
          <w:tcPr>
            <w:tcW w:w="400" w:type="dxa"/>
            <w:vAlign w:val="bottom"/>
            <w:gridSpan w:val="2"/>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over</w:t>
            </w:r>
          </w:p>
        </w:tc>
        <w:tc>
          <w:tcPr>
            <w:tcW w:w="0" w:type="dxa"/>
            <w:vAlign w:val="bottom"/>
          </w:tcPr>
          <w:p>
            <w:pPr>
              <w:spacing w:after="0"/>
              <w:rPr>
                <w:sz w:val="1"/>
                <w:szCs w:val="1"/>
                <w:color w:val="auto"/>
              </w:rPr>
            </w:pPr>
          </w:p>
        </w:tc>
      </w:tr>
      <w:tr>
        <w:trPr>
          <w:trHeight w:val="108"/>
        </w:trPr>
        <w:tc>
          <w:tcPr>
            <w:tcW w:w="640" w:type="dxa"/>
            <w:vAlign w:val="bottom"/>
            <w:vMerge w:val="restart"/>
          </w:tcPr>
          <w:p>
            <w:pPr>
              <w:ind w:left="220"/>
              <w:spacing w:after="0" w:line="202" w:lineRule="exact"/>
              <w:rPr>
                <w:sz w:val="20"/>
                <w:szCs w:val="20"/>
                <w:color w:val="auto"/>
              </w:rPr>
            </w:pPr>
            <w:r>
              <w:rPr>
                <w:rFonts w:ascii="Times New Roman" w:cs="Times New Roman" w:eastAsia="Times New Roman" w:hAnsi="Times New Roman"/>
                <w:sz w:val="18"/>
                <w:szCs w:val="18"/>
                <w:color w:val="auto"/>
              </w:rPr>
              <w:t>his</w:t>
            </w:r>
          </w:p>
        </w:tc>
        <w:tc>
          <w:tcPr>
            <w:tcW w:w="1060" w:type="dxa"/>
            <w:vAlign w:val="bottom"/>
            <w:gridSpan w:val="2"/>
            <w:vMerge w:val="restart"/>
          </w:tcPr>
          <w:p>
            <w:pPr>
              <w:ind w:left="100"/>
              <w:spacing w:after="0" w:line="202" w:lineRule="exact"/>
              <w:rPr>
                <w:sz w:val="20"/>
                <w:szCs w:val="20"/>
                <w:color w:val="auto"/>
              </w:rPr>
            </w:pPr>
            <w:r>
              <w:rPr>
                <w:rFonts w:ascii="Times New Roman" w:cs="Times New Roman" w:eastAsia="Times New Roman" w:hAnsi="Times New Roman"/>
                <w:sz w:val="18"/>
                <w:szCs w:val="18"/>
                <w:color w:val="auto"/>
              </w:rPr>
              <w:t>knowledge</w:t>
            </w:r>
          </w:p>
        </w:tc>
        <w:tc>
          <w:tcPr>
            <w:tcW w:w="720" w:type="dxa"/>
            <w:vAlign w:val="bottom"/>
            <w:gridSpan w:val="2"/>
            <w:vMerge w:val="restart"/>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and</w:t>
            </w:r>
          </w:p>
        </w:tc>
        <w:tc>
          <w:tcPr>
            <w:tcW w:w="980" w:type="dxa"/>
            <w:vAlign w:val="bottom"/>
            <w:gridSpan w:val="2"/>
            <w:vMerge w:val="restart"/>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experience.</w:t>
            </w:r>
          </w:p>
        </w:tc>
        <w:tc>
          <w:tcPr>
            <w:tcW w:w="400" w:type="dxa"/>
            <w:vAlign w:val="bottom"/>
            <w:vMerge w:val="continue"/>
          </w:tcPr>
          <w:p>
            <w:pPr>
              <w:spacing w:after="0"/>
              <w:rPr>
                <w:sz w:val="9"/>
                <w:szCs w:val="9"/>
                <w:color w:val="auto"/>
              </w:rPr>
            </w:pPr>
          </w:p>
        </w:tc>
        <w:tc>
          <w:tcPr>
            <w:tcW w:w="2440" w:type="dxa"/>
            <w:vAlign w:val="bottom"/>
            <w:gridSpan w:val="7"/>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400" w:type="dxa"/>
            <w:vAlign w:val="bottom"/>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auto"/>
                <w:w w:val="99"/>
              </w:rPr>
              <w:t>any</w:t>
            </w:r>
          </w:p>
        </w:tc>
        <w:tc>
          <w:tcPr>
            <w:tcW w:w="780" w:type="dxa"/>
            <w:vAlign w:val="bottom"/>
            <w:gridSpan w:val="3"/>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rPr>
              <w:t>interest</w:t>
            </w:r>
          </w:p>
        </w:tc>
        <w:tc>
          <w:tcPr>
            <w:tcW w:w="8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possessed</w:t>
            </w:r>
          </w:p>
        </w:tc>
        <w:tc>
          <w:tcPr>
            <w:tcW w:w="4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by  a</w:t>
            </w:r>
          </w:p>
        </w:tc>
        <w:tc>
          <w:tcPr>
            <w:tcW w:w="760" w:type="dxa"/>
            <w:vAlign w:val="bottom"/>
            <w:gridSpan w:val="3"/>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08"/>
        </w:trPr>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However,</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English</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and</w:t>
            </w:r>
          </w:p>
        </w:tc>
        <w:tc>
          <w:tcPr>
            <w:tcW w:w="13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Commonwealth</w:t>
            </w:r>
          </w:p>
        </w:tc>
        <w:tc>
          <w:tcPr>
            <w:tcW w:w="400" w:type="dxa"/>
            <w:vAlign w:val="bottom"/>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or</w:t>
            </w:r>
          </w:p>
        </w:tc>
        <w:tc>
          <w:tcPr>
            <w:tcW w:w="188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controlling shareholder</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108"/>
        </w:trPr>
        <w:tc>
          <w:tcPr>
            <w:tcW w:w="3400" w:type="dxa"/>
            <w:vAlign w:val="bottom"/>
            <w:gridSpan w:val="7"/>
            <w:vMerge w:val="restart"/>
          </w:tcPr>
          <w:p>
            <w:pPr>
              <w:ind w:left="220"/>
              <w:spacing w:after="0" w:line="202" w:lineRule="exact"/>
              <w:rPr>
                <w:sz w:val="20"/>
                <w:szCs w:val="20"/>
                <w:color w:val="auto"/>
              </w:rPr>
            </w:pPr>
            <w:r>
              <w:rPr>
                <w:rFonts w:ascii="Times New Roman" w:cs="Times New Roman" w:eastAsia="Times New Roman" w:hAnsi="Times New Roman"/>
                <w:sz w:val="18"/>
                <w:szCs w:val="18"/>
                <w:color w:val="auto"/>
              </w:rPr>
              <w:t>courts have moved toward an objective</w:t>
            </w:r>
          </w:p>
        </w:tc>
        <w:tc>
          <w:tcPr>
            <w:tcW w:w="6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400" w:type="dxa"/>
            <w:vAlign w:val="bottom"/>
            <w:gridSpan w:val="7"/>
            <w:vMerge w:val="continue"/>
          </w:tcPr>
          <w:p>
            <w:pPr>
              <w:spacing w:after="0"/>
              <w:rPr>
                <w:sz w:val="8"/>
                <w:szCs w:val="8"/>
                <w:color w:val="auto"/>
              </w:rPr>
            </w:pPr>
          </w:p>
        </w:tc>
        <w:tc>
          <w:tcPr>
            <w:tcW w:w="400" w:type="dxa"/>
            <w:vAlign w:val="bottom"/>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auto"/>
              </w:rPr>
              <w:t>not</w:t>
            </w:r>
          </w:p>
        </w:tc>
        <w:tc>
          <w:tcPr>
            <w:tcW w:w="780" w:type="dxa"/>
            <w:vAlign w:val="bottom"/>
            <w:gridSpan w:val="3"/>
            <w:vMerge w:val="restart"/>
          </w:tcPr>
          <w:p>
            <w:pPr>
              <w:ind w:left="200"/>
              <w:spacing w:after="0" w:line="202" w:lineRule="exact"/>
              <w:rPr>
                <w:sz w:val="20"/>
                <w:szCs w:val="20"/>
                <w:color w:val="auto"/>
              </w:rPr>
            </w:pPr>
            <w:r>
              <w:rPr>
                <w:rFonts w:ascii="Times New Roman" w:cs="Times New Roman" w:eastAsia="Times New Roman" w:hAnsi="Times New Roman"/>
                <w:sz w:val="18"/>
                <w:szCs w:val="18"/>
                <w:color w:val="auto"/>
              </w:rPr>
              <w:t>shared</w:t>
            </w:r>
          </w:p>
        </w:tc>
        <w:tc>
          <w:tcPr>
            <w:tcW w:w="360" w:type="dxa"/>
            <w:vAlign w:val="bottom"/>
            <w:vMerge w:val="restart"/>
          </w:tcPr>
          <w:p>
            <w:pPr>
              <w:ind w:left="160"/>
              <w:spacing w:after="0" w:line="202" w:lineRule="exact"/>
              <w:rPr>
                <w:sz w:val="20"/>
                <w:szCs w:val="20"/>
                <w:color w:val="auto"/>
              </w:rPr>
            </w:pPr>
            <w:r>
              <w:rPr>
                <w:rFonts w:ascii="Times New Roman" w:cs="Times New Roman" w:eastAsia="Times New Roman" w:hAnsi="Times New Roman"/>
                <w:sz w:val="18"/>
                <w:szCs w:val="18"/>
                <w:color w:val="auto"/>
                <w:w w:val="99"/>
              </w:rPr>
              <w:t>by</w:t>
            </w:r>
          </w:p>
        </w:tc>
        <w:tc>
          <w:tcPr>
            <w:tcW w:w="480" w:type="dxa"/>
            <w:vAlign w:val="bottom"/>
            <w:vMerge w:val="restart"/>
          </w:tcPr>
          <w:p>
            <w:pPr>
              <w:ind w:left="220"/>
              <w:spacing w:after="0" w:line="202" w:lineRule="exact"/>
              <w:rPr>
                <w:sz w:val="20"/>
                <w:szCs w:val="20"/>
                <w:color w:val="auto"/>
              </w:rPr>
            </w:pPr>
            <w:r>
              <w:rPr>
                <w:rFonts w:ascii="Times New Roman" w:cs="Times New Roman" w:eastAsia="Times New Roman" w:hAnsi="Times New Roman"/>
                <w:sz w:val="18"/>
                <w:szCs w:val="18"/>
                <w:color w:val="auto"/>
              </w:rPr>
              <w:t>the</w:t>
            </w:r>
          </w:p>
        </w:tc>
        <w:tc>
          <w:tcPr>
            <w:tcW w:w="1220" w:type="dxa"/>
            <w:vAlign w:val="bottom"/>
            <w:gridSpan w:val="4"/>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shareholders</w:t>
            </w:r>
          </w:p>
        </w:tc>
        <w:tc>
          <w:tcPr>
            <w:tcW w:w="0" w:type="dxa"/>
            <w:vAlign w:val="bottom"/>
          </w:tcPr>
          <w:p>
            <w:pPr>
              <w:spacing w:after="0"/>
              <w:rPr>
                <w:sz w:val="1"/>
                <w:szCs w:val="1"/>
                <w:color w:val="auto"/>
              </w:rPr>
            </w:pPr>
          </w:p>
        </w:tc>
      </w:tr>
      <w:tr>
        <w:trPr>
          <w:trHeight w:val="108"/>
        </w:trPr>
        <w:tc>
          <w:tcPr>
            <w:tcW w:w="2020" w:type="dxa"/>
            <w:vAlign w:val="bottom"/>
            <w:gridSpan w:val="4"/>
            <w:vMerge w:val="restart"/>
          </w:tcPr>
          <w:p>
            <w:pPr>
              <w:ind w:left="220"/>
              <w:spacing w:after="0" w:line="202" w:lineRule="exact"/>
              <w:rPr>
                <w:sz w:val="20"/>
                <w:szCs w:val="20"/>
                <w:color w:val="auto"/>
              </w:rPr>
            </w:pPr>
            <w:r>
              <w:rPr>
                <w:rFonts w:ascii="Times New Roman" w:cs="Times New Roman" w:eastAsia="Times New Roman" w:hAnsi="Times New Roman"/>
                <w:sz w:val="18"/>
                <w:szCs w:val="18"/>
                <w:color w:val="auto"/>
              </w:rPr>
              <w:t>standard  with  regard</w:t>
            </w:r>
          </w:p>
        </w:tc>
        <w:tc>
          <w:tcPr>
            <w:tcW w:w="1380" w:type="dxa"/>
            <w:vAlign w:val="bottom"/>
            <w:gridSpan w:val="3"/>
            <w:vMerge w:val="restart"/>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to  the  required</w:t>
            </w:r>
          </w:p>
        </w:tc>
        <w:tc>
          <w:tcPr>
            <w:tcW w:w="400" w:type="dxa"/>
            <w:vAlign w:val="bottom"/>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20" w:type="dxa"/>
            <w:vAlign w:val="bottom"/>
            <w:gridSpan w:val="4"/>
            <w:vMerge w:val="continue"/>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9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generally.</w:t>
            </w: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7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skill and care and</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70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720" w:space="140"/>
            <w:col w:w="7019"/>
          </w:cols>
          <w:pgMar w:left="580" w:top="97" w:right="1440" w:bottom="1440" w:gutter="0" w:footer="0" w:header="0"/>
          <w:type w:val="continuous"/>
        </w:sectPr>
      </w:pPr>
    </w:p>
    <w:p>
      <w:pPr>
        <w:spacing w:after="0" w:line="1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b w:val="1"/>
          <w:bCs w:val="1"/>
          <w:i w:val="1"/>
          <w:iCs w:val="1"/>
          <w:color w:val="auto"/>
        </w:rPr>
        <w:t>Shareholder 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8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260" w:type="dxa"/>
            <w:vAlign w:val="bottom"/>
          </w:tcPr>
          <w:p>
            <w:pPr>
              <w:spacing w:after="0"/>
              <w:rPr>
                <w:sz w:val="16"/>
                <w:szCs w:val="1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80" w:type="dxa"/>
            <w:vAlign w:val="bottom"/>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7"/>
        </w:trPr>
        <w:tc>
          <w:tcPr>
            <w:tcW w:w="220" w:type="dxa"/>
            <w:vAlign w:val="bottom"/>
            <w:vMerge w:val="continue"/>
          </w:tcPr>
          <w:p>
            <w:pPr>
              <w:spacing w:after="0"/>
              <w:rPr>
                <w:sz w:val="6"/>
                <w:szCs w:val="6"/>
                <w:color w:val="auto"/>
              </w:rPr>
            </w:pPr>
          </w:p>
        </w:tc>
        <w:tc>
          <w:tcPr>
            <w:tcW w:w="2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these  authorities  are  likely  to</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3"/>
              </w:rPr>
              <w:t>be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In  general,  actions  of  a  director  are</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8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followed in the Cayman Islands.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presumed  to  have  been  made  on  an</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informed basis, in good faith and in the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honest belief that the action taken was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in the best interests of the corporation.</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However,  this  presumption  may  be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rebutted by evidence of a breach of one</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of  the  fiduciary  duties.  Should  such</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evidence  be  presented  concerning  a</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transaction by a director, the director</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must prove the procedural fairness of</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the transaction, and that the transaction</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was of fair value to the corporation.</w:t>
            </w:r>
          </w:p>
        </w:tc>
        <w:tc>
          <w:tcPr>
            <w:tcW w:w="0" w:type="dxa"/>
            <w:vAlign w:val="bottom"/>
          </w:tcPr>
          <w:p>
            <w:pPr>
              <w:spacing w:after="0"/>
              <w:rPr>
                <w:sz w:val="1"/>
                <w:szCs w:val="1"/>
                <w:color w:val="auto"/>
              </w:rPr>
            </w:pPr>
          </w:p>
        </w:tc>
      </w:tr>
      <w:tr>
        <w:trPr>
          <w:trHeight w:val="339"/>
        </w:trPr>
        <w:tc>
          <w:tcPr>
            <w:tcW w:w="4160" w:type="dxa"/>
            <w:vAlign w:val="bottom"/>
            <w:gridSpan w:val="5"/>
          </w:tcPr>
          <w:p>
            <w:pPr>
              <w:spacing w:after="0" w:line="339"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Cayman Islands law and our Amended</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Under</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Delaware</w:t>
            </w:r>
          </w:p>
        </w:tc>
        <w:tc>
          <w:tcPr>
            <w:tcW w:w="820" w:type="dxa"/>
            <w:vAlign w:val="bottom"/>
            <w:gridSpan w:val="2"/>
          </w:tcPr>
          <w:p>
            <w:pPr>
              <w:jc w:val="right"/>
              <w:spacing w:after="0" w:line="339" w:lineRule="exact"/>
              <w:rPr>
                <w:sz w:val="20"/>
                <w:szCs w:val="20"/>
                <w:color w:val="auto"/>
              </w:rPr>
            </w:pPr>
            <w:r>
              <w:rPr>
                <w:rFonts w:ascii="Times New Roman" w:cs="Times New Roman" w:eastAsia="Times New Roman" w:hAnsi="Times New Roman"/>
                <w:sz w:val="18"/>
                <w:szCs w:val="18"/>
                <w:color w:val="auto"/>
              </w:rPr>
              <w:t>General</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660" w:space="200"/>
            <w:col w:w="7019"/>
          </w:cols>
          <w:pgMar w:left="580" w:top="97" w:right="1440"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6"/>
          <w:szCs w:val="16"/>
          <w:b w:val="1"/>
          <w:bCs w:val="1"/>
          <w:i w:val="1"/>
          <w:iCs w:val="1"/>
          <w:color w:val="auto"/>
        </w:rPr>
        <w:t>by Written Consent</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Times New Roman" w:cs="Times New Roman" w:eastAsia="Times New Roman" w:hAnsi="Times New Roman"/>
          <w:sz w:val="18"/>
          <w:szCs w:val="18"/>
          <w:color w:val="auto"/>
        </w:rPr>
        <w:t>and Restated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20" w:lineRule="exact"/>
        <w:rPr>
          <w:sz w:val="20"/>
          <w:szCs w:val="20"/>
          <w:color w:val="auto"/>
        </w:rPr>
      </w:pPr>
      <w:r>
        <w:rPr>
          <w:sz w:val="20"/>
          <w:szCs w:val="20"/>
          <w:color w:val="auto"/>
        </w:rPr>
        <w:br w:type="column"/>
      </w:r>
    </w:p>
    <w:p>
      <w:pPr>
        <w:jc w:val="both"/>
        <w:ind w:right="439"/>
        <w:spacing w:after="0" w:line="242" w:lineRule="auto"/>
        <w:rPr>
          <w:sz w:val="20"/>
          <w:szCs w:val="20"/>
          <w:color w:val="auto"/>
        </w:rPr>
      </w:pPr>
      <w:r>
        <w:rPr>
          <w:rFonts w:ascii="Times New Roman" w:cs="Times New Roman" w:eastAsia="Times New Roman" w:hAnsi="Times New Roman"/>
          <w:sz w:val="18"/>
          <w:szCs w:val="18"/>
          <w:color w:val="auto"/>
        </w:rPr>
        <w:t>Corporation Law, a corporation may eliminate the right of shareholders to act by written consent by amendment to its certificate of incorporation.</w:t>
      </w:r>
    </w:p>
    <w:p>
      <w:pPr>
        <w:spacing w:after="0" w:line="963" w:lineRule="exact"/>
        <w:rPr>
          <w:sz w:val="20"/>
          <w:szCs w:val="20"/>
          <w:color w:val="auto"/>
        </w:rPr>
      </w:pPr>
    </w:p>
    <w:p>
      <w:pPr>
        <w:sectPr>
          <w:pgSz w:w="11900" w:h="16838" w:orient="portrait"/>
          <w:cols w:equalWidth="0" w:num="3">
            <w:col w:w="2800" w:space="280"/>
            <w:col w:w="3080" w:space="220"/>
            <w:col w:w="3499"/>
          </w:cols>
          <w:pgMar w:left="580" w:top="97" w:right="1440" w:bottom="1440" w:gutter="0" w:footer="0" w:header="0"/>
          <w:type w:val="continuous"/>
        </w:sectPr>
      </w:pP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b w:val="1"/>
          <w:bCs w:val="1"/>
          <w:i w:val="1"/>
          <w:iCs w:val="1"/>
          <w:color w:val="auto"/>
        </w:rPr>
        <w:t>Shareholder</w:t>
      </w:r>
    </w:p>
    <w:p>
      <w:pPr>
        <w:spacing w:after="0" w:line="20" w:lineRule="exact"/>
        <w:rPr>
          <w:sz w:val="20"/>
          <w:szCs w:val="20"/>
          <w:color w:val="auto"/>
        </w:rPr>
      </w:pPr>
      <w:r>
        <w:rPr>
          <w:sz w:val="20"/>
          <w:szCs w:val="20"/>
          <w:color w:val="auto"/>
        </w:rPr>
        <w:br w:type="column"/>
      </w:r>
    </w:p>
    <w:p>
      <w:pPr>
        <w:spacing w:after="0"/>
        <w:tabs>
          <w:tab w:leader="none" w:pos="840" w:val="left"/>
          <w:tab w:leader="none" w:pos="2020" w:val="left"/>
          <w:tab w:leader="none" w:pos="2620" w:val="left"/>
          <w:tab w:leader="none" w:pos="4320" w:val="left"/>
          <w:tab w:leader="none" w:pos="4900" w:val="left"/>
          <w:tab w:leader="none" w:pos="5980" w:val="left"/>
        </w:tabs>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The</w:t>
      </w:r>
      <w:r>
        <w:rPr>
          <w:sz w:val="20"/>
          <w:szCs w:val="20"/>
          <w:color w:val="auto"/>
        </w:rPr>
        <w:tab/>
      </w:r>
      <w:r>
        <w:rPr>
          <w:rFonts w:ascii="Times New Roman" w:cs="Times New Roman" w:eastAsia="Times New Roman" w:hAnsi="Times New Roman"/>
          <w:sz w:val="18"/>
          <w:szCs w:val="18"/>
          <w:color w:val="auto"/>
        </w:rPr>
        <w:t>Companies</w:t>
      </w:r>
      <w:r>
        <w:rPr>
          <w:sz w:val="20"/>
          <w:szCs w:val="20"/>
          <w:color w:val="auto"/>
        </w:rPr>
        <w:tab/>
      </w:r>
      <w:r>
        <w:rPr>
          <w:rFonts w:ascii="Times New Roman" w:cs="Times New Roman" w:eastAsia="Times New Roman" w:hAnsi="Times New Roman"/>
          <w:sz w:val="18"/>
          <w:szCs w:val="18"/>
          <w:color w:val="auto"/>
        </w:rPr>
        <w:t>Act</w:t>
      </w:r>
      <w:r>
        <w:rPr>
          <w:sz w:val="20"/>
          <w:szCs w:val="20"/>
          <w:color w:val="auto"/>
        </w:rPr>
        <w:tab/>
      </w:r>
      <w:r>
        <w:rPr>
          <w:rFonts w:ascii="Times New Roman" w:cs="Times New Roman" w:eastAsia="Times New Roman" w:hAnsi="Times New Roman"/>
          <w:sz w:val="18"/>
          <w:szCs w:val="18"/>
          <w:color w:val="auto"/>
        </w:rPr>
        <w:t>provides</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Under</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Delaware</w:t>
      </w:r>
      <w:r>
        <w:rPr>
          <w:sz w:val="20"/>
          <w:szCs w:val="20"/>
          <w:color w:val="auto"/>
        </w:rPr>
        <w:tab/>
      </w:r>
      <w:r>
        <w:rPr>
          <w:rFonts w:ascii="Times New Roman" w:cs="Times New Roman" w:eastAsia="Times New Roman" w:hAnsi="Times New Roman"/>
          <w:sz w:val="18"/>
          <w:szCs w:val="18"/>
          <w:color w:val="auto"/>
        </w:rPr>
        <w:t>General</w:t>
      </w:r>
      <w:r>
        <w:rPr>
          <w:rFonts w:ascii="Times New Roman" w:cs="Times New Roman" w:eastAsia="Times New Roman" w:hAnsi="Times New Roman"/>
          <w:sz w:val="35"/>
          <w:szCs w:val="35"/>
          <w:color w:val="auto"/>
          <w:vertAlign w:val="superscript"/>
        </w:rPr>
        <w:t>​</w:t>
      </w:r>
    </w:p>
    <w:p>
      <w:pPr>
        <w:spacing w:after="0" w:line="1" w:lineRule="exact"/>
        <w:rPr>
          <w:sz w:val="20"/>
          <w:szCs w:val="20"/>
          <w:color w:val="auto"/>
        </w:rPr>
      </w:pPr>
    </w:p>
    <w:p>
      <w:pPr>
        <w:sectPr>
          <w:pgSz w:w="11900" w:h="16838" w:orient="portrait"/>
          <w:cols w:equalWidth="0" w:num="2">
            <w:col w:w="2160" w:space="700"/>
            <w:col w:w="7019"/>
          </w:cols>
          <w:pgMar w:left="580" w:top="97" w:right="1440"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7"/>
          <w:szCs w:val="17"/>
          <w:b w:val="1"/>
          <w:bCs w:val="1"/>
          <w:i w:val="1"/>
          <w:iCs w:val="1"/>
          <w:color w:val="auto"/>
        </w:rPr>
        <w:t>Proposals</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Times New Roman" w:cs="Times New Roman" w:eastAsia="Times New Roman" w:hAnsi="Times New Roman"/>
          <w:sz w:val="18"/>
          <w:szCs w:val="18"/>
          <w:color w:val="auto"/>
        </w:rPr>
        <w:t>shareholders with only limited rights to requisition a general meeting, and does not provide shareholders with any right to put any proposal before a general meeting. However, these rights may be provided in a company’s articles of association. However, the Articles do not contain such rights. As a Cayman Islands exempted company, we are not obliged by law to call shareholders’ annual general meetings.</w:t>
      </w:r>
    </w:p>
    <w:p>
      <w:pPr>
        <w:spacing w:after="0" w:line="20" w:lineRule="exact"/>
        <w:rPr>
          <w:sz w:val="20"/>
          <w:szCs w:val="20"/>
          <w:color w:val="auto"/>
        </w:rPr>
      </w:pPr>
      <w:r>
        <w:rPr>
          <w:sz w:val="20"/>
          <w:szCs w:val="20"/>
          <w:color w:val="auto"/>
        </w:rPr>
        <w:br w:type="column"/>
      </w:r>
    </w:p>
    <w:p>
      <w:pPr>
        <w:jc w:val="both"/>
        <w:ind w:right="419"/>
        <w:spacing w:after="0"/>
        <w:rPr>
          <w:sz w:val="20"/>
          <w:szCs w:val="20"/>
          <w:color w:val="auto"/>
        </w:rPr>
      </w:pPr>
      <w:r>
        <w:rPr>
          <w:rFonts w:ascii="Times New Roman" w:cs="Times New Roman" w:eastAsia="Times New Roman" w:hAnsi="Times New Roman"/>
          <w:sz w:val="18"/>
          <w:szCs w:val="18"/>
          <w:color w:val="auto"/>
        </w:rPr>
        <w:t>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7" w:lineRule="exact"/>
        <w:rPr>
          <w:sz w:val="20"/>
          <w:szCs w:val="20"/>
          <w:color w:val="auto"/>
        </w:rPr>
      </w:pPr>
    </w:p>
    <w:p>
      <w:pPr>
        <w:sectPr>
          <w:pgSz w:w="11900" w:h="16838" w:orient="portrait"/>
          <w:cols w:equalWidth="0" w:num="3">
            <w:col w:w="2360" w:space="720"/>
            <w:col w:w="3080" w:space="220"/>
            <w:col w:w="3499"/>
          </w:cols>
          <w:pgMar w:left="580" w:top="97" w:right="1440" w:bottom="1440" w:gutter="0" w:footer="0" w:header="0"/>
          <w:type w:val="continuous"/>
        </w:sectPr>
      </w:pPr>
    </w:p>
    <w:p>
      <w:pPr>
        <w:ind w:left="1260"/>
        <w:spacing w:after="0" w:line="204" w:lineRule="auto"/>
        <w:tabs>
          <w:tab w:leader="none" w:pos="2840" w:val="left"/>
          <w:tab w:leader="none" w:pos="7180" w:val="left"/>
          <w:tab w:leader="none" w:pos="7760" w:val="left"/>
          <w:tab w:leader="none" w:pos="884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i w:val="1"/>
          <w:iCs w:val="1"/>
          <w:color w:val="auto"/>
        </w:rPr>
        <w:t>Cumulative Voting</w:t>
      </w:r>
      <w:r>
        <w:rPr>
          <w:sz w:val="20"/>
          <w:szCs w:val="20"/>
          <w:color w:val="auto"/>
        </w:rPr>
        <w:tab/>
      </w:r>
      <w:r>
        <w:rPr>
          <w:rFonts w:ascii="Times New Roman" w:cs="Times New Roman" w:eastAsia="Times New Roman" w:hAnsi="Times New Roman"/>
          <w:sz w:val="24"/>
          <w:szCs w:val="24"/>
          <w:color w:val="auto"/>
          <w:vertAlign w:val="superscript"/>
        </w:rPr>
        <w:t xml:space="preserve">​ ​ </w:t>
      </w:r>
      <w:r>
        <w:rPr>
          <w:rFonts w:ascii="Times New Roman" w:cs="Times New Roman" w:eastAsia="Times New Roman" w:hAnsi="Times New Roman"/>
          <w:sz w:val="24"/>
          <w:szCs w:val="24"/>
          <w:color w:val="auto"/>
        </w:rPr>
        <w:t>Cumulative voting potentially facilitates</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13"/>
          <w:szCs w:val="13"/>
          <w:color w:val="auto"/>
        </w:rPr>
        <w:t>Under</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Delaware</w:t>
      </w:r>
      <w:r>
        <w:rPr>
          <w:sz w:val="20"/>
          <w:szCs w:val="20"/>
          <w:color w:val="auto"/>
        </w:rPr>
        <w:tab/>
      </w:r>
      <w:r>
        <w:rPr>
          <w:rFonts w:ascii="Times New Roman" w:cs="Times New Roman" w:eastAsia="Times New Roman" w:hAnsi="Times New Roman"/>
          <w:sz w:val="18"/>
          <w:szCs w:val="18"/>
          <w:color w:val="auto"/>
        </w:rPr>
        <w:t>General</w:t>
      </w:r>
      <w:r>
        <w:rPr>
          <w:rFonts w:ascii="Times New Roman" w:cs="Times New Roman" w:eastAsia="Times New Roman" w:hAnsi="Times New Roman"/>
          <w:sz w:val="35"/>
          <w:szCs w:val="35"/>
          <w:color w:val="auto"/>
          <w:vertAlign w:val="superscript"/>
        </w:rPr>
        <w:t>​</w:t>
      </w:r>
    </w:p>
    <w:p>
      <w:pPr>
        <w:sectPr>
          <w:pgSz w:w="11900" w:h="16838" w:orient="portrait"/>
          <w:cols w:equalWidth="0" w:num="1">
            <w:col w:w="9879"/>
          </w:cols>
          <w:pgMar w:left="580" w:top="97" w:right="1440" w:bottom="1440" w:gutter="0" w:footer="0" w:header="0"/>
          <w:type w:val="continuous"/>
        </w:sectPr>
      </w:pPr>
    </w:p>
    <w:p>
      <w:pPr>
        <w:ind w:left="3080"/>
        <w:spacing w:after="0" w:line="234" w:lineRule="auto"/>
        <w:tabs>
          <w:tab w:leader="none" w:pos="3620" w:val="left"/>
          <w:tab w:leader="none" w:pos="5000" w:val="left"/>
          <w:tab w:leader="none" w:pos="5480" w:val="left"/>
        </w:tabs>
        <w:rPr>
          <w:sz w:val="20"/>
          <w:szCs w:val="20"/>
          <w:color w:val="auto"/>
        </w:rPr>
      </w:pP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representation</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minority</w:t>
      </w:r>
    </w:p>
    <w:p>
      <w:pPr>
        <w:ind w:left="3080"/>
        <w:spacing w:after="0" w:line="235" w:lineRule="auto"/>
        <w:rPr>
          <w:sz w:val="20"/>
          <w:szCs w:val="20"/>
          <w:color w:val="auto"/>
        </w:rPr>
      </w:pPr>
      <w:r>
        <w:rPr>
          <w:rFonts w:ascii="Times New Roman" w:cs="Times New Roman" w:eastAsia="Times New Roman" w:hAnsi="Times New Roman"/>
          <w:sz w:val="18"/>
          <w:szCs w:val="18"/>
          <w:color w:val="auto"/>
        </w:rPr>
        <w:t>shareholders  on  a  board  of  directors</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since it permits the minority shareholder</w:t>
      </w:r>
    </w:p>
    <w:p>
      <w:pPr>
        <w:spacing w:after="0" w:line="20" w:lineRule="exact"/>
        <w:rPr>
          <w:sz w:val="20"/>
          <w:szCs w:val="20"/>
          <w:color w:val="auto"/>
        </w:rPr>
      </w:pPr>
      <w:r>
        <w:rPr>
          <w:sz w:val="20"/>
          <w:szCs w:val="20"/>
          <w:color w:val="auto"/>
        </w:rPr>
        <w:br w:type="column"/>
      </w:r>
    </w:p>
    <w:p>
      <w:pPr>
        <w:jc w:val="both"/>
        <w:ind w:right="439"/>
        <w:spacing w:after="0" w:line="239" w:lineRule="auto"/>
        <w:rPr>
          <w:sz w:val="20"/>
          <w:szCs w:val="20"/>
          <w:color w:val="auto"/>
        </w:rPr>
      </w:pPr>
      <w:r>
        <w:rPr>
          <w:rFonts w:ascii="Times New Roman" w:cs="Times New Roman" w:eastAsia="Times New Roman" w:hAnsi="Times New Roman"/>
          <w:sz w:val="18"/>
          <w:szCs w:val="18"/>
          <w:color w:val="auto"/>
        </w:rPr>
        <w:t>Corporation Law, cumulative voting for elections of directors is not permitted unless the corporation’s certificate of</w:t>
      </w:r>
    </w:p>
    <w:p>
      <w:pPr>
        <w:spacing w:after="0" w:line="1" w:lineRule="exact"/>
        <w:rPr>
          <w:sz w:val="20"/>
          <w:szCs w:val="20"/>
          <w:color w:val="auto"/>
        </w:rPr>
      </w:pPr>
    </w:p>
    <w:p>
      <w:pPr>
        <w:sectPr>
          <w:pgSz w:w="11900" w:h="16838" w:orient="portrait"/>
          <w:cols w:equalWidth="0" w:num="2">
            <w:col w:w="6160" w:space="220"/>
            <w:col w:w="3499"/>
          </w:cols>
          <w:pgMar w:left="580" w:top="97" w:right="1440" w:bottom="1440" w:gutter="0" w:footer="0" w:header="0"/>
          <w:type w:val="continuous"/>
        </w:sectPr>
      </w:pPr>
    </w:p>
    <w:tbl>
      <w:tblPr>
        <w:tblLayout w:type="fixed"/>
        <w:tblInd w:w="3080" w:type="dxa"/>
        <w:tblCellMar>
          <w:top w:w="0" w:type="dxa"/>
          <w:left w:w="0" w:type="dxa"/>
          <w:bottom w:w="0" w:type="dxa"/>
          <w:right w:w="0" w:type="dxa"/>
        </w:tblCellMar>
      </w:tblPr>
      <w:tr>
        <w:trPr>
          <w:trHeight w:val="185"/>
        </w:trPr>
        <w:tc>
          <w:tcPr>
            <w:tcW w:w="9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to  cast  all</w:t>
            </w:r>
          </w:p>
        </w:tc>
        <w:tc>
          <w:tcPr>
            <w:tcW w:w="1840" w:type="dxa"/>
            <w:vAlign w:val="bottom"/>
            <w:gridSpan w:val="2"/>
          </w:tcPr>
          <w:p>
            <w:pPr>
              <w:ind w:left="120"/>
              <w:spacing w:after="0" w:line="185" w:lineRule="exact"/>
              <w:rPr>
                <w:sz w:val="20"/>
                <w:szCs w:val="20"/>
                <w:color w:val="auto"/>
              </w:rPr>
            </w:pPr>
            <w:r>
              <w:rPr>
                <w:rFonts w:ascii="Times New Roman" w:cs="Times New Roman" w:eastAsia="Times New Roman" w:hAnsi="Times New Roman"/>
                <w:sz w:val="18"/>
                <w:szCs w:val="18"/>
                <w:color w:val="auto"/>
              </w:rPr>
              <w:t>the  votes  to  which</w:t>
            </w:r>
          </w:p>
        </w:tc>
        <w:tc>
          <w:tcPr>
            <w:tcW w:w="400" w:type="dxa"/>
            <w:vAlign w:val="bottom"/>
          </w:tcPr>
          <w:p>
            <w:pPr>
              <w:jc w:val="right"/>
              <w:ind w:right="30"/>
              <w:spacing w:after="0" w:line="185" w:lineRule="exact"/>
              <w:rPr>
                <w:sz w:val="20"/>
                <w:szCs w:val="20"/>
                <w:color w:val="auto"/>
              </w:rPr>
            </w:pPr>
            <w:r>
              <w:rPr>
                <w:rFonts w:ascii="Times New Roman" w:cs="Times New Roman" w:eastAsia="Times New Roman" w:hAnsi="Times New Roman"/>
                <w:sz w:val="18"/>
                <w:szCs w:val="18"/>
                <w:color w:val="auto"/>
              </w:rPr>
              <w:t>the</w:t>
            </w:r>
          </w:p>
        </w:tc>
        <w:tc>
          <w:tcPr>
            <w:tcW w:w="318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incorporation specifically provides for</w:t>
            </w:r>
          </w:p>
        </w:tc>
      </w:tr>
      <w:tr>
        <w:trPr>
          <w:trHeight w:val="203"/>
        </w:trPr>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shareholder</w:t>
            </w:r>
          </w:p>
        </w:tc>
        <w:tc>
          <w:tcPr>
            <w:tcW w:w="2240" w:type="dxa"/>
            <w:vAlign w:val="bottom"/>
            <w:gridSpan w:val="3"/>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is  entitled  on  a  single</w:t>
            </w:r>
          </w:p>
        </w:tc>
        <w:tc>
          <w:tcPr>
            <w:tcW w:w="31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it.</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which</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increases</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the</w:t>
            </w:r>
          </w:p>
        </w:tc>
        <w:tc>
          <w:tcPr>
            <w:tcW w:w="3180" w:type="dxa"/>
            <w:vAlign w:val="bottom"/>
          </w:tcPr>
          <w:p>
            <w:pPr>
              <w:spacing w:after="0"/>
              <w:rPr>
                <w:sz w:val="20"/>
                <w:szCs w:val="20"/>
                <w:color w:val="auto"/>
              </w:rPr>
            </w:pPr>
          </w:p>
        </w:tc>
      </w:tr>
    </w:tbl>
    <w:p>
      <w:pPr>
        <w:ind w:left="3080"/>
        <w:spacing w:after="0" w:line="236" w:lineRule="auto"/>
        <w:rPr>
          <w:sz w:val="20"/>
          <w:szCs w:val="20"/>
          <w:color w:val="auto"/>
        </w:rPr>
      </w:pPr>
      <w:r>
        <w:rPr>
          <w:rFonts w:ascii="Times New Roman" w:cs="Times New Roman" w:eastAsia="Times New Roman" w:hAnsi="Times New Roman"/>
          <w:sz w:val="18"/>
          <w:szCs w:val="18"/>
          <w:color w:val="auto"/>
        </w:rPr>
        <w:t>shareholder’s voting power with respect</w:t>
      </w:r>
    </w:p>
    <w:p>
      <w:pPr>
        <w:ind w:left="3080"/>
        <w:spacing w:after="0" w:line="235" w:lineRule="auto"/>
        <w:rPr>
          <w:sz w:val="20"/>
          <w:szCs w:val="20"/>
          <w:color w:val="auto"/>
        </w:rPr>
      </w:pPr>
      <w:r>
        <w:rPr>
          <w:rFonts w:ascii="Times New Roman" w:cs="Times New Roman" w:eastAsia="Times New Roman" w:hAnsi="Times New Roman"/>
          <w:sz w:val="18"/>
          <w:szCs w:val="18"/>
          <w:color w:val="auto"/>
        </w:rPr>
        <w:t>to electing such director. There are no</w:t>
      </w:r>
    </w:p>
    <w:p>
      <w:pPr>
        <w:ind w:left="3080"/>
        <w:spacing w:after="0"/>
        <w:rPr>
          <w:sz w:val="20"/>
          <w:szCs w:val="20"/>
          <w:color w:val="auto"/>
        </w:rPr>
      </w:pPr>
      <w:r>
        <w:rPr>
          <w:rFonts w:ascii="Times New Roman" w:cs="Times New Roman" w:eastAsia="Times New Roman" w:hAnsi="Times New Roman"/>
          <w:sz w:val="18"/>
          <w:szCs w:val="18"/>
          <w:color w:val="auto"/>
        </w:rPr>
        <w:t>prohibitions in relation to cumulative</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voting under the laws of the Cayman</w:t>
      </w:r>
    </w:p>
    <w:p>
      <w:pPr>
        <w:ind w:left="3080"/>
        <w:spacing w:after="0" w:line="234" w:lineRule="auto"/>
        <w:rPr>
          <w:sz w:val="20"/>
          <w:szCs w:val="20"/>
          <w:color w:val="auto"/>
        </w:rPr>
      </w:pPr>
      <w:r>
        <w:rPr>
          <w:rFonts w:ascii="Times New Roman" w:cs="Times New Roman" w:eastAsia="Times New Roman" w:hAnsi="Times New Roman"/>
          <w:sz w:val="18"/>
          <w:szCs w:val="18"/>
          <w:color w:val="auto"/>
        </w:rPr>
        <w:t>Islands, but our Amended and Restated</w:t>
      </w:r>
    </w:p>
    <w:p>
      <w:pPr>
        <w:spacing w:after="0" w:line="1" w:lineRule="exact"/>
        <w:rPr>
          <w:sz w:val="20"/>
          <w:szCs w:val="20"/>
          <w:color w:val="auto"/>
        </w:rPr>
      </w:pPr>
    </w:p>
    <w:p>
      <w:pPr>
        <w:ind w:left="3080"/>
        <w:spacing w:after="0"/>
        <w:tabs>
          <w:tab w:leader="none" w:pos="4460" w:val="left"/>
          <w:tab w:leader="none" w:pos="5060" w:val="left"/>
          <w:tab w:leader="none" w:pos="5980" w:val="left"/>
        </w:tabs>
        <w:rPr>
          <w:sz w:val="20"/>
          <w:szCs w:val="20"/>
          <w:color w:val="auto"/>
        </w:rPr>
      </w:pPr>
      <w:r>
        <w:rPr>
          <w:rFonts w:ascii="Times New Roman" w:cs="Times New Roman" w:eastAsia="Times New Roman" w:hAnsi="Times New Roman"/>
          <w:sz w:val="18"/>
          <w:szCs w:val="18"/>
          <w:color w:val="auto"/>
        </w:rPr>
        <w:t>Memorandum</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Articles</w:t>
      </w:r>
      <w:r>
        <w:rPr>
          <w:sz w:val="20"/>
          <w:szCs w:val="20"/>
          <w:color w:val="auto"/>
        </w:rPr>
        <w:tab/>
      </w:r>
      <w:r>
        <w:rPr>
          <w:rFonts w:ascii="Times New Roman" w:cs="Times New Roman" w:eastAsia="Times New Roman" w:hAnsi="Times New Roman"/>
          <w:sz w:val="18"/>
          <w:szCs w:val="18"/>
          <w:color w:val="auto"/>
        </w:rPr>
        <w:t>of</w:t>
      </w:r>
    </w:p>
    <w:p>
      <w:pPr>
        <w:spacing w:after="0" w:line="5" w:lineRule="exact"/>
        <w:rPr>
          <w:sz w:val="20"/>
          <w:szCs w:val="20"/>
          <w:color w:val="auto"/>
        </w:rPr>
      </w:pPr>
    </w:p>
    <w:p>
      <w:pPr>
        <w:ind w:left="3080"/>
        <w:spacing w:after="0"/>
        <w:tabs>
          <w:tab w:leader="none" w:pos="4200" w:val="left"/>
          <w:tab w:leader="none" w:pos="4620" w:val="left"/>
          <w:tab w:leader="none" w:pos="5100" w:val="left"/>
          <w:tab w:leader="none" w:pos="5920" w:val="left"/>
        </w:tabs>
        <w:rPr>
          <w:sz w:val="20"/>
          <w:szCs w:val="20"/>
          <w:color w:val="auto"/>
        </w:rPr>
      </w:pPr>
      <w:r>
        <w:rPr>
          <w:rFonts w:ascii="Times New Roman" w:cs="Times New Roman" w:eastAsia="Times New Roman" w:hAnsi="Times New Roman"/>
          <w:sz w:val="18"/>
          <w:szCs w:val="18"/>
          <w:color w:val="auto"/>
        </w:rPr>
        <w:t>Association</w:t>
        <w:tab/>
        <w:t>do</w:t>
        <w:tab/>
        <w:t>not</w:t>
        <w:tab/>
        <w:t>provide</w:t>
        <w:tab/>
        <w:t>for</w:t>
      </w:r>
    </w:p>
    <w:p>
      <w:pPr>
        <w:ind w:left="3080"/>
        <w:spacing w:after="0" w:line="234" w:lineRule="auto"/>
        <w:rPr>
          <w:sz w:val="20"/>
          <w:szCs w:val="20"/>
          <w:color w:val="auto"/>
        </w:rPr>
      </w:pPr>
      <w:r>
        <w:rPr>
          <w:rFonts w:ascii="Times New Roman" w:cs="Times New Roman" w:eastAsia="Times New Roman" w:hAnsi="Times New Roman"/>
          <w:sz w:val="18"/>
          <w:szCs w:val="18"/>
          <w:color w:val="auto"/>
        </w:rPr>
        <w:t>cumulative  voting.  As  a  result,  our</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shareholders are not afforded any less</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protections or rights on this issue than</w:t>
      </w:r>
    </w:p>
    <w:p>
      <w:pPr>
        <w:ind w:left="3080"/>
        <w:spacing w:after="0"/>
        <w:rPr>
          <w:sz w:val="20"/>
          <w:szCs w:val="20"/>
          <w:color w:val="auto"/>
        </w:rPr>
      </w:pPr>
      <w:r>
        <w:rPr>
          <w:rFonts w:ascii="Times New Roman" w:cs="Times New Roman" w:eastAsia="Times New Roman" w:hAnsi="Times New Roman"/>
          <w:sz w:val="18"/>
          <w:szCs w:val="18"/>
          <w:color w:val="auto"/>
        </w:rPr>
        <w:t>shareholders of a Delaware corporation.</w:t>
      </w: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w:t>
            </w:r>
          </w:p>
        </w:tc>
        <w:tc>
          <w:tcPr>
            <w:tcW w:w="256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520" w:type="dxa"/>
            <w:vAlign w:val="bottom"/>
          </w:tcPr>
          <w:p>
            <w:pPr>
              <w:spacing w:after="0"/>
              <w:rPr>
                <w:sz w:val="16"/>
                <w:szCs w:val="1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8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7"/>
        </w:trPr>
        <w:tc>
          <w:tcPr>
            <w:tcW w:w="4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820" w:type="dxa"/>
            <w:vAlign w:val="bottom"/>
            <w:gridSpan w:val="3"/>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i w:val="1"/>
                <w:iCs w:val="1"/>
                <w:color w:val="auto"/>
              </w:rPr>
              <w:t xml:space="preserve">Removal of Directors </w:t>
            </w:r>
            <w:r>
              <w:rPr>
                <w:rFonts w:ascii="Times New Roman" w:cs="Times New Roman" w:eastAsia="Times New Roman" w:hAnsi="Times New Roman"/>
                <w:sz w:val="32"/>
                <w:szCs w:val="32"/>
                <w:color w:val="auto"/>
                <w:vertAlign w:val="superscript"/>
              </w:rPr>
              <w:t>​ ​</w:t>
            </w:r>
          </w:p>
        </w:tc>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Under  our  Articles,  a  director</w:t>
            </w:r>
          </w:p>
        </w:tc>
        <w:tc>
          <w:tcPr>
            <w:tcW w:w="5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Under</w:t>
            </w:r>
          </w:p>
        </w:tc>
        <w:tc>
          <w:tcPr>
            <w:tcW w:w="5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11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General</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ind w:left="3080"/>
        <w:spacing w:after="0" w:line="234" w:lineRule="auto"/>
        <w:rPr>
          <w:sz w:val="20"/>
          <w:szCs w:val="20"/>
          <w:color w:val="auto"/>
        </w:rPr>
      </w:pPr>
      <w:r>
        <w:rPr>
          <w:rFonts w:ascii="Times New Roman" w:cs="Times New Roman" w:eastAsia="Times New Roman" w:hAnsi="Times New Roman"/>
          <w:sz w:val="18"/>
          <w:szCs w:val="18"/>
          <w:color w:val="auto"/>
        </w:rPr>
        <w:t>than the Sponsor Director and any of the</w:t>
      </w:r>
    </w:p>
    <w:p>
      <w:pPr>
        <w:ind w:left="3080"/>
        <w:spacing w:after="0" w:line="235" w:lineRule="auto"/>
        <w:rPr>
          <w:sz w:val="20"/>
          <w:szCs w:val="20"/>
          <w:color w:val="auto"/>
        </w:rPr>
      </w:pPr>
      <w:r>
        <w:rPr>
          <w:rFonts w:ascii="Times New Roman" w:cs="Times New Roman" w:eastAsia="Times New Roman" w:hAnsi="Times New Roman"/>
          <w:sz w:val="18"/>
          <w:szCs w:val="18"/>
          <w:color w:val="auto"/>
        </w:rPr>
        <w:t>Betters Directors) may be removed by</w:t>
      </w:r>
    </w:p>
    <w:p>
      <w:pPr>
        <w:spacing w:after="0" w:line="1" w:lineRule="exact"/>
        <w:rPr>
          <w:sz w:val="20"/>
          <w:szCs w:val="20"/>
          <w:color w:val="auto"/>
        </w:rPr>
      </w:pPr>
    </w:p>
    <w:p>
      <w:pPr>
        <w:ind w:left="3080"/>
        <w:spacing w:after="0"/>
        <w:tabs>
          <w:tab w:leader="none" w:pos="3540" w:val="left"/>
          <w:tab w:leader="none" w:pos="3880" w:val="left"/>
          <w:tab w:leader="none" w:pos="4240" w:val="left"/>
          <w:tab w:leader="none" w:pos="5040" w:val="left"/>
          <w:tab w:leader="none" w:pos="5980" w:val="left"/>
        </w:tabs>
        <w:rPr>
          <w:sz w:val="20"/>
          <w:szCs w:val="20"/>
          <w:color w:val="auto"/>
        </w:rPr>
      </w:pPr>
      <w:r>
        <w:rPr>
          <w:rFonts w:ascii="Times New Roman" w:cs="Times New Roman" w:eastAsia="Times New Roman" w:hAnsi="Times New Roman"/>
          <w:sz w:val="18"/>
          <w:szCs w:val="18"/>
          <w:color w:val="auto"/>
        </w:rPr>
        <w:t>way</w:t>
        <w:tab/>
        <w:t>of</w:t>
        <w:tab/>
        <w:t>an</w:t>
        <w:tab/>
        <w:t>ordinary</w:t>
        <w:tab/>
        <w:t>resolution</w:t>
        <w:tab/>
        <w:t>of</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shareholders  at  any  time  before  the</w:t>
      </w:r>
    </w:p>
    <w:p>
      <w:pPr>
        <w:ind w:left="3080"/>
        <w:spacing w:after="0" w:line="234" w:lineRule="auto"/>
        <w:tabs>
          <w:tab w:leader="none" w:pos="4000" w:val="left"/>
          <w:tab w:leader="none" w:pos="4320" w:val="left"/>
          <w:tab w:leader="none" w:pos="4720" w:val="left"/>
          <w:tab w:leader="none" w:pos="5360" w:val="left"/>
          <w:tab w:leader="none" w:pos="5700" w:val="left"/>
        </w:tabs>
        <w:rPr>
          <w:sz w:val="20"/>
          <w:szCs w:val="20"/>
          <w:color w:val="auto"/>
        </w:rPr>
      </w:pPr>
      <w:r>
        <w:rPr>
          <w:rFonts w:ascii="Times New Roman" w:cs="Times New Roman" w:eastAsia="Times New Roman" w:hAnsi="Times New Roman"/>
          <w:sz w:val="18"/>
          <w:szCs w:val="18"/>
          <w:color w:val="auto"/>
        </w:rPr>
        <w:t>expiration</w:t>
        <w:tab/>
        <w:t>of</w:t>
        <w:tab/>
        <w:t>his</w:t>
        <w:tab/>
        <w:t>period</w:t>
        <w:tab/>
        <w:t>of</w:t>
        <w:tab/>
        <w:t>office</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notwithstanding anything in the Articles</w:t>
      </w:r>
    </w:p>
    <w:p>
      <w:pPr>
        <w:spacing w:after="0" w:line="5" w:lineRule="exact"/>
        <w:rPr>
          <w:sz w:val="20"/>
          <w:szCs w:val="20"/>
          <w:color w:val="auto"/>
        </w:rPr>
      </w:pPr>
    </w:p>
    <w:p>
      <w:pPr>
        <w:ind w:left="3080"/>
        <w:spacing w:after="0"/>
        <w:tabs>
          <w:tab w:leader="none" w:pos="3380" w:val="left"/>
          <w:tab w:leader="none" w:pos="3700" w:val="left"/>
          <w:tab w:leader="none" w:pos="4140" w:val="left"/>
          <w:tab w:leader="none" w:pos="5080" w:val="left"/>
          <w:tab w:leader="none" w:pos="5880" w:val="left"/>
        </w:tabs>
        <w:rPr>
          <w:sz w:val="20"/>
          <w:szCs w:val="20"/>
          <w:color w:val="auto"/>
        </w:rPr>
      </w:pPr>
      <w:r>
        <w:rPr>
          <w:rFonts w:ascii="Times New Roman" w:cs="Times New Roman" w:eastAsia="Times New Roman" w:hAnsi="Times New Roman"/>
          <w:sz w:val="18"/>
          <w:szCs w:val="18"/>
          <w:color w:val="auto"/>
        </w:rPr>
        <w:t>or</w:t>
        <w:tab/>
        <w:t>in</w:t>
        <w:tab/>
        <w:t>any</w:t>
        <w:tab/>
        <w:t>agreement</w:t>
        <w:tab/>
        <w:t>between</w:t>
        <w:tab/>
        <w:t>our</w:t>
      </w:r>
    </w:p>
    <w:p>
      <w:pPr>
        <w:ind w:left="3080"/>
        <w:spacing w:after="0" w:line="234" w:lineRule="auto"/>
        <w:tabs>
          <w:tab w:leader="none" w:pos="4120" w:val="left"/>
          <w:tab w:leader="none" w:pos="4780" w:val="left"/>
          <w:tab w:leader="none" w:pos="5500" w:val="left"/>
        </w:tabs>
        <w:rPr>
          <w:sz w:val="20"/>
          <w:szCs w:val="20"/>
          <w:color w:val="auto"/>
        </w:rPr>
      </w:pPr>
      <w:r>
        <w:rPr>
          <w:rFonts w:ascii="Times New Roman" w:cs="Times New Roman" w:eastAsia="Times New Roman" w:hAnsi="Times New Roman"/>
          <w:sz w:val="18"/>
          <w:szCs w:val="18"/>
          <w:color w:val="auto"/>
        </w:rPr>
        <w:t>company</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such</w:t>
      </w:r>
      <w:r>
        <w:rPr>
          <w:sz w:val="20"/>
          <w:szCs w:val="20"/>
          <w:color w:val="auto"/>
        </w:rPr>
        <w:tab/>
      </w:r>
      <w:r>
        <w:rPr>
          <w:rFonts w:ascii="Times New Roman" w:cs="Times New Roman" w:eastAsia="Times New Roman" w:hAnsi="Times New Roman"/>
          <w:sz w:val="18"/>
          <w:szCs w:val="18"/>
          <w:color w:val="auto"/>
        </w:rPr>
        <w:t>director.</w:t>
      </w:r>
    </w:p>
    <w:p>
      <w:pPr>
        <w:spacing w:after="0" w:line="1" w:lineRule="exact"/>
        <w:rPr>
          <w:sz w:val="20"/>
          <w:szCs w:val="20"/>
          <w:color w:val="auto"/>
        </w:rPr>
      </w:pPr>
    </w:p>
    <w:p>
      <w:pPr>
        <w:ind w:left="3080"/>
        <w:spacing w:after="0"/>
        <w:tabs>
          <w:tab w:leader="none" w:pos="4500" w:val="left"/>
          <w:tab w:leader="none" w:pos="4940" w:val="left"/>
          <w:tab w:leader="none" w:pos="5900" w:val="left"/>
        </w:tabs>
        <w:rPr>
          <w:sz w:val="20"/>
          <w:szCs w:val="20"/>
          <w:color w:val="auto"/>
        </w:rPr>
      </w:pPr>
      <w:r>
        <w:rPr>
          <w:rFonts w:ascii="Times New Roman" w:cs="Times New Roman" w:eastAsia="Times New Roman" w:hAnsi="Times New Roman"/>
          <w:sz w:val="18"/>
          <w:szCs w:val="18"/>
          <w:color w:val="auto"/>
        </w:rPr>
        <w:t>Notwithstanding</w:t>
        <w:tab/>
        <w:t>the</w:t>
        <w:tab/>
        <w:t>foregoing,</w:t>
        <w:tab/>
        <w:t>the</w:t>
      </w:r>
    </w:p>
    <w:p>
      <w:pPr>
        <w:spacing w:after="0" w:line="20" w:lineRule="exact"/>
        <w:rPr>
          <w:sz w:val="20"/>
          <w:szCs w:val="20"/>
          <w:color w:val="auto"/>
        </w:rPr>
      </w:pPr>
      <w:r>
        <w:rPr>
          <w:sz w:val="20"/>
          <w:szCs w:val="20"/>
          <w:color w:val="auto"/>
        </w:rPr>
        <w:br w:type="column"/>
      </w:r>
    </w:p>
    <w:p>
      <w:pPr>
        <w:jc w:val="both"/>
        <w:ind w:right="439"/>
        <w:spacing w:after="0" w:line="241" w:lineRule="auto"/>
        <w:rPr>
          <w:sz w:val="20"/>
          <w:szCs w:val="20"/>
          <w:color w:val="auto"/>
        </w:rPr>
      </w:pPr>
      <w:r>
        <w:rPr>
          <w:rFonts w:ascii="Times New Roman" w:cs="Times New Roman" w:eastAsia="Times New Roman" w:hAnsi="Times New Roman"/>
          <w:sz w:val="18"/>
          <w:szCs w:val="18"/>
          <w:color w:val="auto"/>
        </w:rPr>
        <w:t>Corporation Law, a director of a corporation with a classified board may be removed only for cause with the approval of a majority of the issued and outstanding shares entitled to vote, unless the certificate of incorporation provides otherwise.</w:t>
      </w:r>
    </w:p>
    <w:p>
      <w:pPr>
        <w:spacing w:after="0" w:line="404" w:lineRule="exact"/>
        <w:rPr>
          <w:sz w:val="20"/>
          <w:szCs w:val="20"/>
          <w:color w:val="auto"/>
        </w:rPr>
      </w:pPr>
    </w:p>
    <w:p>
      <w:pPr>
        <w:sectPr>
          <w:pgSz w:w="11900" w:h="16838" w:orient="portrait"/>
          <w:cols w:equalWidth="0" w:num="2">
            <w:col w:w="6160" w:space="220"/>
            <w:col w:w="34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b w:val="1"/>
          <w:bCs w:val="1"/>
          <w:i w:val="1"/>
          <w:iCs w:val="1"/>
          <w:color w:val="auto"/>
        </w:rPr>
        <w:t>Transactions with</w:t>
      </w:r>
    </w:p>
    <w:p>
      <w:pPr>
        <w:ind w:left="1460"/>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Interested</w:t>
      </w:r>
    </w:p>
    <w:p>
      <w:pPr>
        <w:spacing w:after="0" w:line="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i w:val="1"/>
          <w:iCs w:val="1"/>
          <w:color w:val="auto"/>
        </w:rPr>
        <w:t>Shareholders</w:t>
      </w:r>
    </w:p>
    <w:p>
      <w:pPr>
        <w:spacing w:after="0" w:line="20" w:lineRule="exact"/>
        <w:rPr>
          <w:sz w:val="20"/>
          <w:szCs w:val="20"/>
          <w:color w:val="auto"/>
        </w:rPr>
      </w:pPr>
      <w:r>
        <w:rPr>
          <w:sz w:val="20"/>
          <w:szCs w:val="20"/>
          <w:color w:val="auto"/>
        </w:rPr>
        <w:br w:type="column"/>
      </w:r>
    </w:p>
    <w:p>
      <w:pPr>
        <w:ind w:left="213"/>
        <w:spacing w:after="0"/>
        <w:rPr>
          <w:sz w:val="20"/>
          <w:szCs w:val="20"/>
          <w:color w:val="auto"/>
        </w:rPr>
      </w:pPr>
      <w:r>
        <w:rPr>
          <w:rFonts w:ascii="Times New Roman" w:cs="Times New Roman" w:eastAsia="Times New Roman" w:hAnsi="Times New Roman"/>
          <w:sz w:val="18"/>
          <w:szCs w:val="18"/>
          <w:color w:val="auto"/>
        </w:rPr>
        <w:t>Sponsor Director may be removed by</w:t>
      </w:r>
    </w:p>
    <w:p>
      <w:pPr>
        <w:ind w:left="213"/>
        <w:spacing w:after="0" w:line="234" w:lineRule="auto"/>
        <w:rPr>
          <w:sz w:val="20"/>
          <w:szCs w:val="20"/>
          <w:color w:val="auto"/>
        </w:rPr>
      </w:pPr>
      <w:r>
        <w:rPr>
          <w:rFonts w:ascii="Times New Roman" w:cs="Times New Roman" w:eastAsia="Times New Roman" w:hAnsi="Times New Roman"/>
          <w:sz w:val="18"/>
          <w:szCs w:val="18"/>
          <w:color w:val="auto"/>
        </w:rPr>
        <w:t>the Sponsor and the Betters Directors</w:t>
      </w:r>
    </w:p>
    <w:p>
      <w:pPr>
        <w:spacing w:after="0" w:line="1"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may be removed by Betters Medical (or</w:t>
      </w:r>
    </w:p>
    <w:p>
      <w:pPr>
        <w:spacing w:after="0" w:line="5"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its affiliates), in each case, by written</w:t>
      </w:r>
    </w:p>
    <w:p>
      <w:pPr>
        <w:ind w:left="213"/>
        <w:spacing w:after="0" w:line="234" w:lineRule="auto"/>
        <w:rPr>
          <w:sz w:val="20"/>
          <w:szCs w:val="20"/>
          <w:color w:val="auto"/>
        </w:rPr>
      </w:pPr>
      <w:r>
        <w:rPr>
          <w:rFonts w:ascii="Times New Roman" w:cs="Times New Roman" w:eastAsia="Times New Roman" w:hAnsi="Times New Roman"/>
          <w:sz w:val="18"/>
          <w:szCs w:val="18"/>
          <w:color w:val="auto"/>
        </w:rPr>
        <w:t>notice to our company. A vacancy on</w:t>
      </w:r>
    </w:p>
    <w:p>
      <w:pPr>
        <w:spacing w:after="0" w:line="1"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the board created by the removal of a</w:t>
      </w:r>
    </w:p>
    <w:p>
      <w:pPr>
        <w:spacing w:after="0" w:line="5"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director pursuant to the above may be</w:t>
      </w:r>
    </w:p>
    <w:p>
      <w:pPr>
        <w:ind w:left="213"/>
        <w:spacing w:after="0" w:line="234" w:lineRule="auto"/>
        <w:rPr>
          <w:sz w:val="20"/>
          <w:szCs w:val="20"/>
          <w:color w:val="auto"/>
        </w:rPr>
      </w:pPr>
      <w:r>
        <w:rPr>
          <w:rFonts w:ascii="Times New Roman" w:cs="Times New Roman" w:eastAsia="Times New Roman" w:hAnsi="Times New Roman"/>
          <w:sz w:val="18"/>
          <w:szCs w:val="18"/>
          <w:color w:val="auto"/>
        </w:rPr>
        <w:t>filled by the election or appointment by</w:t>
      </w:r>
    </w:p>
    <w:p>
      <w:pPr>
        <w:spacing w:after="0" w:line="1"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ordinary resolution of shareholders at</w:t>
      </w:r>
    </w:p>
    <w:p>
      <w:pPr>
        <w:spacing w:after="0" w:line="5"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the meeting at which such director is</w:t>
      </w:r>
    </w:p>
    <w:p>
      <w:pPr>
        <w:ind w:left="213"/>
        <w:spacing w:after="0" w:line="234" w:lineRule="auto"/>
        <w:rPr>
          <w:sz w:val="20"/>
          <w:szCs w:val="20"/>
          <w:color w:val="auto"/>
        </w:rPr>
      </w:pPr>
      <w:r>
        <w:rPr>
          <w:rFonts w:ascii="Times New Roman" w:cs="Times New Roman" w:eastAsia="Times New Roman" w:hAnsi="Times New Roman"/>
          <w:sz w:val="18"/>
          <w:szCs w:val="18"/>
          <w:color w:val="auto"/>
        </w:rPr>
        <w:t>removed or by the affirmative vote of a</w:t>
      </w:r>
    </w:p>
    <w:p>
      <w:pPr>
        <w:spacing w:after="0" w:line="1" w:lineRule="exact"/>
        <w:rPr>
          <w:sz w:val="20"/>
          <w:szCs w:val="20"/>
          <w:color w:val="auto"/>
        </w:rPr>
      </w:pPr>
    </w:p>
    <w:p>
      <w:pPr>
        <w:ind w:left="213"/>
        <w:spacing w:after="0"/>
        <w:tabs>
          <w:tab w:leader="none" w:pos="893" w:val="left"/>
          <w:tab w:leader="none" w:pos="1733" w:val="left"/>
          <w:tab w:leader="none" w:pos="2093" w:val="left"/>
          <w:tab w:leader="none" w:pos="2513" w:val="left"/>
        </w:tabs>
        <w:rPr>
          <w:sz w:val="20"/>
          <w:szCs w:val="20"/>
          <w:color w:val="auto"/>
        </w:rPr>
      </w:pPr>
      <w:r>
        <w:rPr>
          <w:rFonts w:ascii="Times New Roman" w:cs="Times New Roman" w:eastAsia="Times New Roman" w:hAnsi="Times New Roman"/>
          <w:sz w:val="18"/>
          <w:szCs w:val="18"/>
          <w:color w:val="auto"/>
        </w:rPr>
        <w:t>simple</w:t>
        <w:tab/>
        <w:t>majority</w:t>
        <w:tab/>
        <w:t>of</w:t>
        <w:tab/>
        <w:t>the</w:t>
        <w:tab/>
        <w:t>remaining</w:t>
      </w:r>
    </w:p>
    <w:p>
      <w:pPr>
        <w:spacing w:after="0" w:line="5"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directors present and voting at a board</w:t>
      </w:r>
    </w:p>
    <w:p>
      <w:pPr>
        <w:ind w:left="213"/>
        <w:spacing w:after="0" w:line="234" w:lineRule="auto"/>
        <w:rPr>
          <w:sz w:val="20"/>
          <w:szCs w:val="20"/>
          <w:color w:val="auto"/>
        </w:rPr>
      </w:pPr>
      <w:r>
        <w:rPr>
          <w:rFonts w:ascii="Times New Roman" w:cs="Times New Roman" w:eastAsia="Times New Roman" w:hAnsi="Times New Roman"/>
          <w:sz w:val="18"/>
          <w:szCs w:val="18"/>
          <w:color w:val="auto"/>
        </w:rPr>
        <w:t>meeting provided, that in the case of the</w:t>
      </w:r>
    </w:p>
    <w:p>
      <w:pPr>
        <w:spacing w:after="0" w:line="1"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removal of the Sponsor Director or any</w:t>
      </w:r>
    </w:p>
    <w:p>
      <w:pPr>
        <w:spacing w:after="0" w:line="5"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of the Betters Directors, the Sponsor</w:t>
      </w:r>
    </w:p>
    <w:p>
      <w:pPr>
        <w:ind w:left="213"/>
        <w:spacing w:after="0" w:line="234" w:lineRule="auto"/>
        <w:rPr>
          <w:sz w:val="20"/>
          <w:szCs w:val="20"/>
          <w:color w:val="auto"/>
        </w:rPr>
      </w:pPr>
      <w:r>
        <w:rPr>
          <w:rFonts w:ascii="Times New Roman" w:cs="Times New Roman" w:eastAsia="Times New Roman" w:hAnsi="Times New Roman"/>
          <w:sz w:val="18"/>
          <w:szCs w:val="18"/>
          <w:color w:val="auto"/>
        </w:rPr>
        <w:t>and/or Betters Medical (or its affiliates)</w:t>
      </w:r>
    </w:p>
    <w:p>
      <w:pPr>
        <w:spacing w:after="0" w:line="1" w:lineRule="exact"/>
        <w:rPr>
          <w:sz w:val="20"/>
          <w:szCs w:val="20"/>
          <w:color w:val="auto"/>
        </w:rPr>
      </w:pPr>
    </w:p>
    <w:p>
      <w:pPr>
        <w:ind w:left="213"/>
        <w:spacing w:after="0"/>
        <w:tabs>
          <w:tab w:leader="none" w:pos="713" w:val="left"/>
          <w:tab w:leader="none" w:pos="1333" w:val="left"/>
          <w:tab w:leader="none" w:pos="1673" w:val="left"/>
          <w:tab w:leader="none" w:pos="2393" w:val="left"/>
          <w:tab w:leader="none" w:pos="2713" w:val="left"/>
        </w:tabs>
        <w:rPr>
          <w:sz w:val="20"/>
          <w:szCs w:val="20"/>
          <w:color w:val="auto"/>
        </w:rPr>
      </w:pPr>
      <w:r>
        <w:rPr>
          <w:rFonts w:ascii="Times New Roman" w:cs="Times New Roman" w:eastAsia="Times New Roman" w:hAnsi="Times New Roman"/>
          <w:sz w:val="18"/>
          <w:szCs w:val="18"/>
          <w:color w:val="auto"/>
        </w:rPr>
        <w:t>shall</w:t>
        <w:tab/>
        <w:t>solely</w:t>
        <w:tab/>
        <w:t>be</w:t>
        <w:tab/>
        <w:t>entitled</w:t>
        <w:tab/>
        <w:t>to</w:t>
        <w:tab/>
        <w:t>appoint</w:t>
      </w:r>
    </w:p>
    <w:p>
      <w:pPr>
        <w:spacing w:after="0" w:line="5"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another person as the Sponsor Director</w:t>
      </w:r>
    </w:p>
    <w:p>
      <w:pPr>
        <w:ind w:left="213"/>
        <w:spacing w:after="0" w:line="234" w:lineRule="auto"/>
        <w:tabs>
          <w:tab w:leader="none" w:pos="513" w:val="left"/>
          <w:tab w:leader="none" w:pos="893" w:val="left"/>
          <w:tab w:leader="none" w:pos="1593" w:val="left"/>
          <w:tab w:leader="none" w:pos="2413" w:val="left"/>
          <w:tab w:leader="none" w:pos="3033" w:val="left"/>
        </w:tabs>
        <w:rPr>
          <w:sz w:val="20"/>
          <w:szCs w:val="20"/>
          <w:color w:val="auto"/>
        </w:rPr>
      </w:pPr>
      <w:r>
        <w:rPr>
          <w:rFonts w:ascii="Times New Roman" w:cs="Times New Roman" w:eastAsia="Times New Roman" w:hAnsi="Times New Roman"/>
          <w:sz w:val="18"/>
          <w:szCs w:val="18"/>
          <w:color w:val="auto"/>
        </w:rPr>
        <w:t>or</w:t>
        <w:tab/>
        <w:t>the</w:t>
        <w:tab/>
        <w:t>Betters</w:t>
        <w:tab/>
        <w:t>Director.</w:t>
        <w:tab/>
        <w:t>Under</w:t>
        <w:tab/>
        <w:t>the</w:t>
      </w:r>
    </w:p>
    <w:p>
      <w:pPr>
        <w:ind w:left="213"/>
        <w:spacing w:after="0" w:line="235" w:lineRule="auto"/>
        <w:rPr>
          <w:sz w:val="20"/>
          <w:szCs w:val="20"/>
          <w:color w:val="auto"/>
        </w:rPr>
      </w:pPr>
      <w:r>
        <w:rPr>
          <w:rFonts w:ascii="Times New Roman" w:cs="Times New Roman" w:eastAsia="Times New Roman" w:hAnsi="Times New Roman"/>
          <w:sz w:val="18"/>
          <w:szCs w:val="18"/>
          <w:color w:val="auto"/>
        </w:rPr>
        <w:t>Articles,  a  director’s  office  shall  be</w:t>
      </w:r>
    </w:p>
    <w:p>
      <w:pPr>
        <w:spacing w:after="0" w:line="1" w:lineRule="exact"/>
        <w:rPr>
          <w:sz w:val="20"/>
          <w:szCs w:val="20"/>
          <w:color w:val="auto"/>
        </w:rPr>
      </w:pPr>
    </w:p>
    <w:p>
      <w:pPr>
        <w:ind w:left="213"/>
        <w:spacing w:after="0"/>
        <w:tabs>
          <w:tab w:leader="none" w:pos="913" w:val="left"/>
          <w:tab w:leader="none" w:pos="1173" w:val="left"/>
          <w:tab w:leader="none" w:pos="1553" w:val="left"/>
          <w:tab w:leader="none" w:pos="2293" w:val="left"/>
          <w:tab w:leader="none" w:pos="2613" w:val="left"/>
        </w:tabs>
        <w:rPr>
          <w:sz w:val="20"/>
          <w:szCs w:val="20"/>
          <w:color w:val="auto"/>
        </w:rPr>
      </w:pPr>
      <w:r>
        <w:rPr>
          <w:rFonts w:ascii="Times New Roman" w:cs="Times New Roman" w:eastAsia="Times New Roman" w:hAnsi="Times New Roman"/>
          <w:sz w:val="18"/>
          <w:szCs w:val="18"/>
          <w:color w:val="auto"/>
        </w:rPr>
        <w:t>vacated</w:t>
        <w:tab/>
        <w:t>if</w:t>
        <w:tab/>
        <w:t>the</w:t>
        <w:tab/>
        <w:t>director</w:t>
        <w:tab/>
        <w:t>(i)</w:t>
        <w:tab/>
        <w:t>becomes</w:t>
      </w:r>
    </w:p>
    <w:p>
      <w:pPr>
        <w:spacing w:after="0" w:line="5"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bankrupt or has a receiving order made</w:t>
      </w:r>
    </w:p>
    <w:p>
      <w:pPr>
        <w:ind w:left="213"/>
        <w:spacing w:after="0" w:line="234" w:lineRule="auto"/>
        <w:rPr>
          <w:sz w:val="20"/>
          <w:szCs w:val="20"/>
          <w:color w:val="auto"/>
        </w:rPr>
      </w:pPr>
      <w:r>
        <w:rPr>
          <w:rFonts w:ascii="Times New Roman" w:cs="Times New Roman" w:eastAsia="Times New Roman" w:hAnsi="Times New Roman"/>
          <w:sz w:val="18"/>
          <w:szCs w:val="18"/>
          <w:color w:val="auto"/>
        </w:rPr>
        <w:t>against  him  or  suspends  payment  or</w:t>
      </w:r>
    </w:p>
    <w:p>
      <w:pPr>
        <w:spacing w:after="0" w:line="1"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compounds  with  his  creditors;  (ii)  is</w:t>
      </w:r>
    </w:p>
    <w:p>
      <w:pPr>
        <w:spacing w:after="0" w:line="5" w:lineRule="exact"/>
        <w:rPr>
          <w:sz w:val="20"/>
          <w:szCs w:val="20"/>
          <w:color w:val="auto"/>
        </w:rPr>
      </w:pPr>
    </w:p>
    <w:p>
      <w:pPr>
        <w:ind w:left="213"/>
        <w:spacing w:after="0"/>
        <w:rPr>
          <w:sz w:val="20"/>
          <w:szCs w:val="20"/>
          <w:color w:val="auto"/>
        </w:rPr>
      </w:pPr>
      <w:r>
        <w:rPr>
          <w:rFonts w:ascii="Times New Roman" w:cs="Times New Roman" w:eastAsia="Times New Roman" w:hAnsi="Times New Roman"/>
          <w:sz w:val="18"/>
          <w:szCs w:val="18"/>
          <w:color w:val="auto"/>
        </w:rPr>
        <w:t>found  to  be  or  becomes  of  unsound</w:t>
      </w:r>
    </w:p>
    <w:p>
      <w:pPr>
        <w:ind w:left="213"/>
        <w:spacing w:after="0" w:line="234" w:lineRule="auto"/>
        <w:rPr>
          <w:sz w:val="20"/>
          <w:szCs w:val="20"/>
          <w:color w:val="auto"/>
        </w:rPr>
      </w:pPr>
      <w:r>
        <w:rPr>
          <w:rFonts w:ascii="Times New Roman" w:cs="Times New Roman" w:eastAsia="Times New Roman" w:hAnsi="Times New Roman"/>
          <w:sz w:val="18"/>
          <w:szCs w:val="18"/>
          <w:color w:val="auto"/>
        </w:rPr>
        <w:t>mind or dies; (iii) resigns his office by</w:t>
      </w:r>
    </w:p>
    <w:p>
      <w:pPr>
        <w:spacing w:after="0" w:line="1" w:lineRule="exact"/>
        <w:rPr>
          <w:sz w:val="20"/>
          <w:szCs w:val="20"/>
          <w:color w:val="auto"/>
        </w:rPr>
      </w:pPr>
    </w:p>
    <w:p>
      <w:pPr>
        <w:ind w:left="213"/>
        <w:spacing w:after="0"/>
        <w:tabs>
          <w:tab w:leader="none" w:pos="813" w:val="left"/>
          <w:tab w:leader="none" w:pos="1113" w:val="left"/>
          <w:tab w:leader="none" w:pos="1813" w:val="left"/>
          <w:tab w:leader="none" w:pos="2113" w:val="left"/>
          <w:tab w:leader="none" w:pos="2533" w:val="left"/>
        </w:tabs>
        <w:rPr>
          <w:sz w:val="20"/>
          <w:szCs w:val="20"/>
          <w:color w:val="auto"/>
        </w:rPr>
      </w:pPr>
      <w:r>
        <w:rPr>
          <w:rFonts w:ascii="Times New Roman" w:cs="Times New Roman" w:eastAsia="Times New Roman" w:hAnsi="Times New Roman"/>
          <w:sz w:val="18"/>
          <w:szCs w:val="18"/>
          <w:color w:val="auto"/>
        </w:rPr>
        <w:t>notice</w:t>
        <w:tab/>
        <w:t>in</w:t>
        <w:tab/>
        <w:t>writing</w:t>
        <w:tab/>
        <w:t>to</w:t>
        <w:tab/>
        <w:t>our</w:t>
        <w:tab/>
        <w:t>company;</w:t>
      </w:r>
    </w:p>
    <w:p>
      <w:pPr>
        <w:spacing w:after="0" w:line="7" w:lineRule="exact"/>
        <w:rPr>
          <w:sz w:val="20"/>
          <w:szCs w:val="20"/>
          <w:color w:val="auto"/>
        </w:rPr>
      </w:pPr>
    </w:p>
    <w:p>
      <w:pPr>
        <w:jc w:val="both"/>
        <w:ind w:left="213" w:right="3719" w:firstLine="3"/>
        <w:spacing w:after="0"/>
        <w:tabs>
          <w:tab w:leader="none" w:pos="5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w:t>
      </w:r>
    </w:p>
    <w:p>
      <w:pPr>
        <w:spacing w:after="0" w:line="211" w:lineRule="exact"/>
        <w:rPr>
          <w:rFonts w:ascii="Times New Roman" w:cs="Times New Roman" w:eastAsia="Times New Roman" w:hAnsi="Times New Roman"/>
          <w:sz w:val="18"/>
          <w:szCs w:val="18"/>
          <w:color w:val="auto"/>
        </w:rPr>
      </w:pPr>
    </w:p>
    <w:p>
      <w:pPr>
        <w:ind w:left="113" w:hanging="113"/>
        <w:spacing w:after="0" w:line="196" w:lineRule="auto"/>
        <w:tabs>
          <w:tab w:leader="none" w:pos="113"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Cayman Islands law has no comparable</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The Delaware General Corporation Law</w:t>
      </w:r>
      <w:r>
        <w:rPr>
          <w:rFonts w:ascii="Times New Roman" w:cs="Times New Roman" w:eastAsia="Times New Roman" w:hAnsi="Times New Roman"/>
          <w:sz w:val="35"/>
          <w:szCs w:val="35"/>
          <w:color w:val="auto"/>
          <w:vertAlign w:val="superscript"/>
        </w:rPr>
        <w:t>​</w:t>
      </w:r>
    </w:p>
    <w:p>
      <w:pPr>
        <w:ind w:left="213"/>
        <w:spacing w:after="0" w:line="236" w:lineRule="auto"/>
        <w:tabs>
          <w:tab w:leader="none" w:pos="3493" w:val="left"/>
        </w:tabs>
        <w:rPr>
          <w:sz w:val="20"/>
          <w:szCs w:val="20"/>
          <w:color w:val="auto"/>
        </w:rPr>
      </w:pPr>
      <w:r>
        <w:rPr>
          <w:rFonts w:ascii="Times New Roman" w:cs="Times New Roman" w:eastAsia="Times New Roman" w:hAnsi="Times New Roman"/>
          <w:sz w:val="18"/>
          <w:szCs w:val="18"/>
          <w:color w:val="auto"/>
        </w:rPr>
        <w:t>statute. As a result, we cannot avail</w:t>
        <w:tab/>
        <w:t>contains a business combination statute</w:t>
      </w:r>
    </w:p>
    <w:p>
      <w:pPr>
        <w:ind w:left="213"/>
        <w:spacing w:after="0" w:line="234" w:lineRule="auto"/>
        <w:tabs>
          <w:tab w:leader="none" w:pos="3493" w:val="left"/>
          <w:tab w:leader="none" w:pos="4433" w:val="left"/>
          <w:tab w:leader="none" w:pos="4733" w:val="left"/>
          <w:tab w:leader="none" w:pos="5613" w:val="left"/>
        </w:tabs>
        <w:rPr>
          <w:sz w:val="20"/>
          <w:szCs w:val="20"/>
          <w:color w:val="auto"/>
        </w:rPr>
      </w:pPr>
      <w:r>
        <w:rPr>
          <w:rFonts w:ascii="Times New Roman" w:cs="Times New Roman" w:eastAsia="Times New Roman" w:hAnsi="Times New Roman"/>
          <w:sz w:val="18"/>
          <w:szCs w:val="18"/>
          <w:color w:val="auto"/>
        </w:rPr>
        <w:t>ourselves  of  the  types  of  protections</w:t>
        <w:tab/>
        <w:t>applicable</w:t>
        <w:tab/>
        <w:t>to</w:t>
        <w:tab/>
        <w:t>Delaware</w:t>
        <w:tab/>
        <w:t>corporations</w:t>
      </w:r>
    </w:p>
    <w:p>
      <w:pPr>
        <w:spacing w:after="0" w:line="1" w:lineRule="exact"/>
        <w:rPr>
          <w:sz w:val="20"/>
          <w:szCs w:val="20"/>
          <w:color w:val="auto"/>
        </w:rPr>
      </w:pPr>
    </w:p>
    <w:p>
      <w:pPr>
        <w:ind w:left="213"/>
        <w:spacing w:after="0"/>
        <w:tabs>
          <w:tab w:leader="none" w:pos="993" w:val="left"/>
          <w:tab w:leader="none" w:pos="1353" w:val="left"/>
          <w:tab w:leader="none" w:pos="1753" w:val="left"/>
          <w:tab w:leader="none" w:pos="2633" w:val="left"/>
          <w:tab w:leader="none" w:pos="3493" w:val="left"/>
          <w:tab w:leader="none" w:pos="4313" w:val="left"/>
          <w:tab w:leader="none" w:pos="4933" w:val="left"/>
          <w:tab w:leader="none" w:pos="5293" w:val="left"/>
          <w:tab w:leader="none" w:pos="6313" w:val="left"/>
        </w:tabs>
        <w:rPr>
          <w:sz w:val="20"/>
          <w:szCs w:val="20"/>
          <w:color w:val="auto"/>
        </w:rPr>
      </w:pPr>
      <w:r>
        <w:rPr>
          <w:rFonts w:ascii="Times New Roman" w:cs="Times New Roman" w:eastAsia="Times New Roman" w:hAnsi="Times New Roman"/>
          <w:sz w:val="18"/>
          <w:szCs w:val="18"/>
          <w:color w:val="auto"/>
        </w:rPr>
        <w:t>afforded</w:t>
        <w:tab/>
        <w:t>by</w:t>
        <w:tab/>
        <w:t>the</w:t>
        <w:tab/>
        <w:t>Delaware</w:t>
        <w:tab/>
        <w:t>business</w:t>
        <w:tab/>
        <w:t>whereby,</w:t>
        <w:tab/>
        <w:t>unless</w:t>
        <w:tab/>
        <w:t>the</w:t>
        <w:tab/>
        <w:t>corporation</w:t>
        <w:tab/>
        <w:t>has</w:t>
      </w:r>
    </w:p>
    <w:p>
      <w:pPr>
        <w:spacing w:after="0" w:line="5" w:lineRule="exact"/>
        <w:rPr>
          <w:sz w:val="20"/>
          <w:szCs w:val="20"/>
          <w:color w:val="auto"/>
        </w:rPr>
      </w:pPr>
    </w:p>
    <w:p>
      <w:pPr>
        <w:ind w:left="213"/>
        <w:spacing w:after="0"/>
        <w:tabs>
          <w:tab w:leader="none" w:pos="3493" w:val="left"/>
        </w:tabs>
        <w:rPr>
          <w:sz w:val="20"/>
          <w:szCs w:val="20"/>
          <w:color w:val="auto"/>
        </w:rPr>
      </w:pPr>
      <w:r>
        <w:rPr>
          <w:rFonts w:ascii="Times New Roman" w:cs="Times New Roman" w:eastAsia="Times New Roman" w:hAnsi="Times New Roman"/>
          <w:sz w:val="18"/>
          <w:szCs w:val="18"/>
          <w:color w:val="auto"/>
        </w:rPr>
        <w:t>combination statute. However, although</w:t>
        <w:tab/>
        <w:t>specifically elected not to be governed</w:t>
      </w:r>
    </w:p>
    <w:p>
      <w:pPr>
        <w:ind w:left="213"/>
        <w:spacing w:after="0" w:line="234" w:lineRule="auto"/>
        <w:tabs>
          <w:tab w:leader="none" w:pos="3493" w:val="left"/>
        </w:tabs>
        <w:rPr>
          <w:sz w:val="20"/>
          <w:szCs w:val="20"/>
          <w:color w:val="auto"/>
        </w:rPr>
      </w:pPr>
      <w:r>
        <w:rPr>
          <w:rFonts w:ascii="Times New Roman" w:cs="Times New Roman" w:eastAsia="Times New Roman" w:hAnsi="Times New Roman"/>
          <w:sz w:val="18"/>
          <w:szCs w:val="18"/>
          <w:color w:val="auto"/>
        </w:rPr>
        <w:t>Cayman Islands law does not regulate</w:t>
        <w:tab/>
        <w:t>by such statute by amendment to its</w:t>
      </w:r>
    </w:p>
    <w:p>
      <w:pPr>
        <w:spacing w:after="0" w:line="1" w:lineRule="exact"/>
        <w:rPr>
          <w:sz w:val="20"/>
          <w:szCs w:val="20"/>
          <w:color w:val="auto"/>
        </w:rPr>
      </w:pPr>
    </w:p>
    <w:p>
      <w:pPr>
        <w:ind w:left="213"/>
        <w:spacing w:after="0"/>
        <w:tabs>
          <w:tab w:leader="none" w:pos="3493" w:val="left"/>
        </w:tabs>
        <w:rPr>
          <w:sz w:val="20"/>
          <w:szCs w:val="20"/>
          <w:color w:val="auto"/>
        </w:rPr>
      </w:pPr>
      <w:r>
        <w:rPr>
          <w:rFonts w:ascii="Times New Roman" w:cs="Times New Roman" w:eastAsia="Times New Roman" w:hAnsi="Times New Roman"/>
          <w:sz w:val="18"/>
          <w:szCs w:val="18"/>
          <w:color w:val="auto"/>
        </w:rPr>
        <w:t>transactions between a company and its</w:t>
      </w:r>
      <w:r>
        <w:rPr>
          <w:sz w:val="20"/>
          <w:szCs w:val="20"/>
          <w:color w:val="auto"/>
        </w:rPr>
        <w:tab/>
      </w:r>
      <w:r>
        <w:rPr>
          <w:rFonts w:ascii="Times New Roman" w:cs="Times New Roman" w:eastAsia="Times New Roman" w:hAnsi="Times New Roman"/>
          <w:sz w:val="18"/>
          <w:szCs w:val="18"/>
          <w:color w:val="auto"/>
        </w:rPr>
        <w:t>certificate of incorporation, it is</w:t>
      </w:r>
    </w:p>
    <w:p>
      <w:pPr>
        <w:spacing w:after="0" w:line="200" w:lineRule="exact"/>
        <w:rPr>
          <w:sz w:val="20"/>
          <w:szCs w:val="20"/>
          <w:color w:val="auto"/>
        </w:rPr>
      </w:pPr>
    </w:p>
    <w:p>
      <w:pPr>
        <w:sectPr>
          <w:pgSz w:w="11900" w:h="16838" w:orient="portrait"/>
          <w:cols w:equalWidth="0" w:num="2">
            <w:col w:w="2540" w:space="327"/>
            <w:col w:w="7012"/>
          </w:cols>
          <w:pgMar w:left="580" w:top="97" w:right="1440" w:bottom="1440" w:gutter="0" w:footer="0" w:header="0"/>
          <w:type w:val="continuous"/>
        </w:sect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 ​</w:t>
            </w: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Cayman Islands</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2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4"/>
        </w:trPr>
        <w:tc>
          <w:tcPr>
            <w:tcW w:w="4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2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significant shareholders, the directors of</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prohibited</w:t>
            </w:r>
          </w:p>
        </w:tc>
        <w:tc>
          <w:tcPr>
            <w:tcW w:w="22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from  engaging  in  certain</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ind w:left="3080"/>
        <w:spacing w:after="0" w:line="236" w:lineRule="auto"/>
        <w:rPr>
          <w:sz w:val="20"/>
          <w:szCs w:val="20"/>
          <w:color w:val="auto"/>
        </w:rPr>
      </w:pPr>
      <w:r>
        <w:rPr>
          <w:rFonts w:ascii="Times New Roman" w:cs="Times New Roman" w:eastAsia="Times New Roman" w:hAnsi="Times New Roman"/>
          <w:sz w:val="18"/>
          <w:szCs w:val="18"/>
          <w:color w:val="auto"/>
        </w:rPr>
        <w:t>our company are required to comply</w:t>
      </w:r>
    </w:p>
    <w:p>
      <w:pPr>
        <w:ind w:left="3080"/>
        <w:spacing w:after="0" w:line="235" w:lineRule="auto"/>
        <w:rPr>
          <w:sz w:val="20"/>
          <w:szCs w:val="20"/>
          <w:color w:val="auto"/>
        </w:rPr>
      </w:pPr>
      <w:r>
        <w:rPr>
          <w:rFonts w:ascii="Times New Roman" w:cs="Times New Roman" w:eastAsia="Times New Roman" w:hAnsi="Times New Roman"/>
          <w:sz w:val="18"/>
          <w:szCs w:val="18"/>
          <w:color w:val="auto"/>
        </w:rPr>
        <w:t>with fiduciary duties which they owe to</w:t>
      </w:r>
    </w:p>
    <w:p>
      <w:pPr>
        <w:ind w:left="3080"/>
        <w:spacing w:after="0"/>
        <w:tabs>
          <w:tab w:leader="none" w:pos="3460" w:val="left"/>
          <w:tab w:leader="none" w:pos="4280" w:val="left"/>
          <w:tab w:leader="none" w:pos="4840" w:val="left"/>
          <w:tab w:leader="none" w:pos="5600" w:val="left"/>
        </w:tabs>
        <w:rPr>
          <w:sz w:val="20"/>
          <w:szCs w:val="20"/>
          <w:color w:val="auto"/>
        </w:rPr>
      </w:pPr>
      <w:r>
        <w:rPr>
          <w:rFonts w:ascii="Times New Roman" w:cs="Times New Roman" w:eastAsia="Times New Roman" w:hAnsi="Times New Roman"/>
          <w:sz w:val="18"/>
          <w:szCs w:val="18"/>
          <w:color w:val="auto"/>
        </w:rPr>
        <w:t>our</w:t>
        <w:tab/>
        <w:t>company</w:t>
        <w:tab/>
        <w:t>under</w:t>
        <w:tab/>
        <w:t>Cayman</w:t>
        <w:tab/>
        <w:t>Islands</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laws, including the duty to ensure that,</w:t>
      </w:r>
    </w:p>
    <w:p>
      <w:pPr>
        <w:ind w:left="3080"/>
        <w:spacing w:after="0" w:line="234" w:lineRule="auto"/>
        <w:rPr>
          <w:sz w:val="20"/>
          <w:szCs w:val="20"/>
          <w:color w:val="auto"/>
        </w:rPr>
      </w:pPr>
      <w:r>
        <w:rPr>
          <w:rFonts w:ascii="Times New Roman" w:cs="Times New Roman" w:eastAsia="Times New Roman" w:hAnsi="Times New Roman"/>
          <w:sz w:val="18"/>
          <w:szCs w:val="18"/>
          <w:color w:val="auto"/>
        </w:rPr>
        <w:t>in their opinion, any such transactions</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must be entered into bona fide in the</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best interests of the company and not</w:t>
      </w:r>
    </w:p>
    <w:p>
      <w:pPr>
        <w:ind w:left="3080"/>
        <w:spacing w:after="0" w:line="234" w:lineRule="auto"/>
        <w:rPr>
          <w:sz w:val="20"/>
          <w:szCs w:val="20"/>
          <w:color w:val="auto"/>
        </w:rPr>
      </w:pPr>
      <w:r>
        <w:rPr>
          <w:rFonts w:ascii="Times New Roman" w:cs="Times New Roman" w:eastAsia="Times New Roman" w:hAnsi="Times New Roman"/>
          <w:sz w:val="18"/>
          <w:szCs w:val="18"/>
          <w:color w:val="auto"/>
        </w:rPr>
        <w:t>with the effect of constituting a fraud on</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the minority shareholders.</w:t>
      </w:r>
    </w:p>
    <w:p>
      <w:pPr>
        <w:spacing w:after="0" w:line="20" w:lineRule="exact"/>
        <w:rPr>
          <w:sz w:val="20"/>
          <w:szCs w:val="20"/>
          <w:color w:val="auto"/>
        </w:rPr>
      </w:pPr>
      <w:r>
        <w:rPr>
          <w:sz w:val="20"/>
          <w:szCs w:val="20"/>
          <w:color w:val="auto"/>
        </w:rPr>
        <w:br w:type="column"/>
      </w:r>
    </w:p>
    <w:p>
      <w:pPr>
        <w:jc w:val="both"/>
        <w:ind w:right="419"/>
        <w:spacing w:after="0"/>
        <w:rPr>
          <w:sz w:val="20"/>
          <w:szCs w:val="20"/>
          <w:color w:val="auto"/>
        </w:rPr>
      </w:pPr>
      <w:r>
        <w:rPr>
          <w:rFonts w:ascii="Times New Roman" w:cs="Times New Roman" w:eastAsia="Times New Roman" w:hAnsi="Times New Roman"/>
          <w:sz w:val="18"/>
          <w:szCs w:val="18"/>
          <w:color w:val="auto"/>
        </w:rPr>
        <w:t>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 w:lineRule="exact"/>
        <w:rPr>
          <w:sz w:val="20"/>
          <w:szCs w:val="20"/>
          <w:color w:val="auto"/>
        </w:rPr>
      </w:pPr>
    </w:p>
    <w:p>
      <w:pPr>
        <w:sectPr>
          <w:pgSz w:w="11900" w:h="16838" w:orient="portrait"/>
          <w:cols w:equalWidth="0" w:num="2">
            <w:col w:w="6160" w:space="220"/>
            <w:col w:w="3499"/>
          </w:cols>
          <w:pgMar w:left="580" w:top="97" w:right="1440" w:bottom="1440" w:gutter="0" w:footer="0" w:header="0"/>
          <w:type w:val="continuous"/>
        </w:sectPr>
      </w:pPr>
    </w:p>
    <w:p>
      <w:pPr>
        <w:ind w:left="1260"/>
        <w:spacing w:after="0" w:line="214" w:lineRule="auto"/>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b w:val="1"/>
          <w:bCs w:val="1"/>
          <w:i w:val="1"/>
          <w:iCs w:val="1"/>
          <w:color w:val="auto"/>
        </w:rPr>
        <w:t>Dissolution; Winding</w:t>
      </w:r>
    </w:p>
    <w:p>
      <w:pPr>
        <w:spacing w:after="0" w:line="20" w:lineRule="exact"/>
        <w:rPr>
          <w:sz w:val="20"/>
          <w:szCs w:val="20"/>
          <w:color w:val="auto"/>
        </w:rPr>
      </w:pPr>
      <w:r>
        <w:rPr>
          <w:sz w:val="20"/>
          <w:szCs w:val="20"/>
          <w:color w:val="auto"/>
        </w:rPr>
        <w:br w:type="column"/>
      </w:r>
    </w:p>
    <w:p>
      <w:pPr>
        <w:spacing w:after="0" w:line="202" w:lineRule="auto"/>
        <w:tabs>
          <w:tab w:leader="none" w:pos="4320" w:val="left"/>
          <w:tab w:leader="none" w:pos="4900" w:val="left"/>
          <w:tab w:leader="none" w:pos="5980" w:val="left"/>
        </w:tabs>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Under Cayman Islands law, a company</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Under</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Delaware</w:t>
      </w:r>
      <w:r>
        <w:rPr>
          <w:sz w:val="20"/>
          <w:szCs w:val="20"/>
          <w:color w:val="auto"/>
        </w:rPr>
        <w:tab/>
      </w:r>
      <w:r>
        <w:rPr>
          <w:rFonts w:ascii="Times New Roman" w:cs="Times New Roman" w:eastAsia="Times New Roman" w:hAnsi="Times New Roman"/>
          <w:sz w:val="18"/>
          <w:szCs w:val="18"/>
          <w:color w:val="auto"/>
        </w:rPr>
        <w:t>General</w:t>
      </w:r>
      <w:r>
        <w:rPr>
          <w:rFonts w:ascii="Times New Roman" w:cs="Times New Roman" w:eastAsia="Times New Roman" w:hAnsi="Times New Roman"/>
          <w:sz w:val="35"/>
          <w:szCs w:val="35"/>
          <w:color w:val="auto"/>
          <w:vertAlign w:val="superscript"/>
        </w:rPr>
        <w:t>​</w:t>
      </w:r>
    </w:p>
    <w:p>
      <w:pPr>
        <w:spacing w:after="0" w:line="1" w:lineRule="exact"/>
        <w:rPr>
          <w:sz w:val="20"/>
          <w:szCs w:val="20"/>
          <w:color w:val="auto"/>
        </w:rPr>
      </w:pPr>
    </w:p>
    <w:p>
      <w:pPr>
        <w:sectPr>
          <w:pgSz w:w="11900" w:h="16838" w:orient="portrait"/>
          <w:cols w:equalWidth="0" w:num="2">
            <w:col w:w="2800" w:space="60"/>
            <w:col w:w="7019"/>
          </w:cols>
          <w:pgMar w:left="580" w:top="97" w:right="1440" w:bottom="1440" w:gutter="0" w:footer="0" w:header="0"/>
          <w:type w:val="continuous"/>
        </w:sectPr>
      </w:pPr>
    </w:p>
    <w:p>
      <w:pPr>
        <w:jc w:val="center"/>
        <w:ind w:left="760"/>
        <w:spacing w:after="0"/>
        <w:rPr>
          <w:sz w:val="20"/>
          <w:szCs w:val="20"/>
          <w:color w:val="auto"/>
        </w:rPr>
      </w:pPr>
      <w:r>
        <w:rPr>
          <w:rFonts w:ascii="Times New Roman" w:cs="Times New Roman" w:eastAsia="Times New Roman" w:hAnsi="Times New Roman"/>
          <w:sz w:val="16"/>
          <w:szCs w:val="16"/>
          <w:b w:val="1"/>
          <w:bCs w:val="1"/>
          <w:i w:val="1"/>
          <w:iCs w:val="1"/>
          <w:color w:val="auto"/>
        </w:rPr>
        <w:t>Up</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Times New Roman" w:cs="Times New Roman" w:eastAsia="Times New Roman" w:hAnsi="Times New Roman"/>
          <w:sz w:val="18"/>
          <w:szCs w:val="18"/>
          <w:color w:val="auto"/>
        </w:rPr>
        <w:t>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20" w:lineRule="exact"/>
        <w:rPr>
          <w:sz w:val="20"/>
          <w:szCs w:val="20"/>
          <w:color w:val="auto"/>
        </w:rPr>
      </w:pPr>
      <w:r>
        <w:rPr>
          <w:sz w:val="20"/>
          <w:szCs w:val="20"/>
          <w:color w:val="auto"/>
        </w:rPr>
        <w:br w:type="column"/>
      </w:r>
    </w:p>
    <w:p>
      <w:pPr>
        <w:jc w:val="both"/>
        <w:ind w:right="419"/>
        <w:spacing w:after="0" w:line="239" w:lineRule="auto"/>
        <w:rPr>
          <w:sz w:val="20"/>
          <w:szCs w:val="20"/>
          <w:color w:val="auto"/>
        </w:rPr>
      </w:pPr>
      <w:r>
        <w:rPr>
          <w:rFonts w:ascii="Times New Roman" w:cs="Times New Roman" w:eastAsia="Times New Roman" w:hAnsi="Times New Roman"/>
          <w:sz w:val="18"/>
          <w:szCs w:val="18"/>
          <w:color w:val="auto"/>
        </w:rPr>
        <w:t>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w:t>
      </w:r>
    </w:p>
    <w:p>
      <w:pPr>
        <w:spacing w:after="0" w:line="12" w:lineRule="exact"/>
        <w:rPr>
          <w:sz w:val="20"/>
          <w:szCs w:val="20"/>
          <w:color w:val="auto"/>
        </w:rPr>
      </w:pPr>
    </w:p>
    <w:p>
      <w:pPr>
        <w:sectPr>
          <w:pgSz w:w="11900" w:h="16838" w:orient="portrait"/>
          <w:cols w:equalWidth="0" w:num="3">
            <w:col w:w="2360" w:space="720"/>
            <w:col w:w="3080" w:space="220"/>
            <w:col w:w="3499"/>
          </w:cols>
          <w:pgMar w:left="580" w:top="97" w:right="1440" w:bottom="1440" w:gutter="0" w:footer="0" w:header="0"/>
          <w:type w:val="continuous"/>
        </w:sectPr>
      </w:pP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b w:val="1"/>
          <w:bCs w:val="1"/>
          <w:i w:val="1"/>
          <w:iCs w:val="1"/>
          <w:color w:val="auto"/>
        </w:rPr>
        <w:t>Variation of Rights of</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directors.</w:t>
            </w: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21"/>
        </w:trPr>
        <w:tc>
          <w:tcPr>
            <w:tcW w:w="4280" w:type="dxa"/>
            <w:vAlign w:val="bottom"/>
          </w:tcPr>
          <w:p>
            <w:pPr>
              <w:spacing w:after="0" w:line="321"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Under the Articles, if our share capital</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Under</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820" w:type="dxa"/>
            <w:vAlign w:val="bottom"/>
          </w:tcPr>
          <w:p>
            <w:pPr>
              <w:ind w:left="180"/>
              <w:spacing w:after="0" w:line="321" w:lineRule="exact"/>
              <w:rPr>
                <w:sz w:val="20"/>
                <w:szCs w:val="20"/>
                <w:color w:val="auto"/>
              </w:rPr>
            </w:pPr>
            <w:r>
              <w:rPr>
                <w:rFonts w:ascii="Times New Roman" w:cs="Times New Roman" w:eastAsia="Times New Roman" w:hAnsi="Times New Roman"/>
                <w:sz w:val="18"/>
                <w:szCs w:val="18"/>
                <w:color w:val="auto"/>
              </w:rPr>
              <w:t>General</w:t>
            </w:r>
            <w:r>
              <w:rPr>
                <w:rFonts w:ascii="Times New Roman" w:cs="Times New Roman" w:eastAsia="Times New Roman" w:hAnsi="Times New Roman"/>
                <w:sz w:val="35"/>
                <w:szCs w:val="35"/>
                <w:color w:val="auto"/>
                <w:vertAlign w:val="superscript"/>
              </w:rPr>
              <w:t>​</w:t>
            </w:r>
          </w:p>
        </w:tc>
      </w:tr>
    </w:tbl>
    <w:p>
      <w:pPr>
        <w:spacing w:after="0" w:line="1" w:lineRule="exact"/>
        <w:rPr>
          <w:sz w:val="20"/>
          <w:szCs w:val="20"/>
          <w:color w:val="auto"/>
        </w:rPr>
      </w:pPr>
    </w:p>
    <w:p>
      <w:pPr>
        <w:sectPr>
          <w:pgSz w:w="11900" w:h="16838" w:orient="portrait"/>
          <w:cols w:equalWidth="0" w:num="2">
            <w:col w:w="2800" w:space="60"/>
            <w:col w:w="7019"/>
          </w:cols>
          <w:pgMar w:left="580" w:top="97" w:right="1440"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6"/>
          <w:szCs w:val="16"/>
          <w:b w:val="1"/>
          <w:bCs w:val="1"/>
          <w:i w:val="1"/>
          <w:iCs w:val="1"/>
          <w:color w:val="auto"/>
        </w:rPr>
        <w:t>Shares</w:t>
      </w:r>
    </w:p>
    <w:p>
      <w:pPr>
        <w:spacing w:after="0" w:line="20" w:lineRule="exact"/>
        <w:rPr>
          <w:sz w:val="20"/>
          <w:szCs w:val="20"/>
          <w:color w:val="auto"/>
        </w:rPr>
      </w:pPr>
      <w:r>
        <w:rPr>
          <w:sz w:val="20"/>
          <w:szCs w:val="20"/>
          <w:color w:val="auto"/>
        </w:rPr>
        <w:br w:type="column"/>
      </w:r>
    </w:p>
    <w:p>
      <w:pPr>
        <w:jc w:val="both"/>
        <w:spacing w:after="0" w:line="241" w:lineRule="auto"/>
        <w:rPr>
          <w:sz w:val="20"/>
          <w:szCs w:val="20"/>
          <w:color w:val="auto"/>
        </w:rPr>
      </w:pPr>
      <w:r>
        <w:rPr>
          <w:rFonts w:ascii="Times New Roman" w:cs="Times New Roman" w:eastAsia="Times New Roman" w:hAnsi="Times New Roman"/>
          <w:sz w:val="18"/>
          <w:szCs w:val="18"/>
          <w:color w:val="auto"/>
        </w:rPr>
        <w:t>is divided into more than one class of shares, the rights attached to any such class may only be varied with the sanction of a resolution passed by a majority of two- thirds of the votes cast at a separate meeting of the holders of the shares of that class.</w:t>
      </w:r>
    </w:p>
    <w:p>
      <w:pPr>
        <w:spacing w:after="0" w:line="20" w:lineRule="exact"/>
        <w:rPr>
          <w:sz w:val="20"/>
          <w:szCs w:val="20"/>
          <w:color w:val="auto"/>
        </w:rPr>
      </w:pPr>
      <w:r>
        <w:rPr>
          <w:sz w:val="20"/>
          <w:szCs w:val="20"/>
          <w:color w:val="auto"/>
        </w:rPr>
        <w:br w:type="column"/>
      </w:r>
    </w:p>
    <w:p>
      <w:pPr>
        <w:jc w:val="both"/>
        <w:ind w:right="419"/>
        <w:spacing w:after="0"/>
        <w:rPr>
          <w:sz w:val="20"/>
          <w:szCs w:val="20"/>
          <w:color w:val="auto"/>
        </w:rPr>
      </w:pPr>
      <w:r>
        <w:rPr>
          <w:rFonts w:ascii="Times New Roman" w:cs="Times New Roman" w:eastAsia="Times New Roman" w:hAnsi="Times New Roman"/>
          <w:sz w:val="18"/>
          <w:szCs w:val="18"/>
          <w:color w:val="auto"/>
        </w:rPr>
        <w:t>Corporation Law, a corporation may vary the rights of a class of shares with the approval of a majority of the outstanding shares of such class, unless the certificate of incorporation provides otherwise.</w:t>
      </w:r>
    </w:p>
    <w:p>
      <w:pPr>
        <w:spacing w:after="0" w:line="620" w:lineRule="exact"/>
        <w:rPr>
          <w:sz w:val="20"/>
          <w:szCs w:val="20"/>
          <w:color w:val="auto"/>
        </w:rPr>
      </w:pPr>
    </w:p>
    <w:p>
      <w:pPr>
        <w:sectPr>
          <w:pgSz w:w="11900" w:h="16838" w:orient="portrait"/>
          <w:cols w:equalWidth="0" w:num="3">
            <w:col w:w="2360" w:space="720"/>
            <w:col w:w="3080" w:space="220"/>
            <w:col w:w="3499"/>
          </w:cols>
          <w:pgMar w:left="580" w:top="97" w:right="1440"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ind w:left="1260"/>
        <w:spacing w:after="0" w:line="205" w:lineRule="auto"/>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b w:val="1"/>
          <w:bCs w:val="1"/>
          <w:i w:val="1"/>
          <w:iCs w:val="1"/>
          <w:color w:val="auto"/>
        </w:rPr>
        <w:t>Amendment of</w:t>
      </w:r>
    </w:p>
    <w:p>
      <w:pPr>
        <w:ind w:left="1460"/>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Governing</w:t>
      </w:r>
    </w:p>
    <w:p>
      <w:pPr>
        <w:ind w:left="1460"/>
        <w:spacing w:after="0"/>
        <w:rPr>
          <w:sz w:val="20"/>
          <w:szCs w:val="20"/>
          <w:color w:val="auto"/>
        </w:rPr>
      </w:pPr>
      <w:r>
        <w:rPr>
          <w:rFonts w:ascii="Times New Roman" w:cs="Times New Roman" w:eastAsia="Times New Roman" w:hAnsi="Times New Roman"/>
          <w:sz w:val="18"/>
          <w:szCs w:val="18"/>
          <w:b w:val="1"/>
          <w:bCs w:val="1"/>
          <w:i w:val="1"/>
          <w:iCs w:val="1"/>
          <w:color w:val="auto"/>
        </w:rPr>
        <w:t>Documents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240" w:type="dxa"/>
            <w:vAlign w:val="bottom"/>
            <w:gridSpan w:val="2"/>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spacing w:after="0"/>
              <w:rPr>
                <w:sz w:val="16"/>
                <w:szCs w:val="16"/>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8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8"/>
        </w:trPr>
        <w:tc>
          <w:tcPr>
            <w:tcW w:w="106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Under  the</w:t>
            </w:r>
          </w:p>
        </w:tc>
        <w:tc>
          <w:tcPr>
            <w:tcW w:w="11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Companies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Act  and  our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Under</w:t>
            </w:r>
          </w:p>
        </w:tc>
        <w:tc>
          <w:tcPr>
            <w:tcW w:w="4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12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General</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Amended</w:t>
            </w:r>
          </w:p>
        </w:tc>
        <w:tc>
          <w:tcPr>
            <w:tcW w:w="1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and  Restated</w:t>
            </w:r>
          </w:p>
        </w:tc>
        <w:tc>
          <w:tcPr>
            <w:tcW w:w="1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Memorandum</w:t>
            </w:r>
          </w:p>
        </w:tc>
        <w:tc>
          <w:tcPr>
            <w:tcW w:w="220" w:type="dxa"/>
            <w:vAlign w:val="bottom"/>
          </w:tcPr>
          <w:p>
            <w:pPr>
              <w:spacing w:after="0"/>
              <w:rPr>
                <w:sz w:val="17"/>
                <w:szCs w:val="17"/>
                <w:color w:val="auto"/>
              </w:rPr>
            </w:pPr>
          </w:p>
        </w:tc>
        <w:tc>
          <w:tcPr>
            <w:tcW w:w="11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Corporation</w:t>
            </w:r>
          </w:p>
        </w:tc>
        <w:tc>
          <w:tcPr>
            <w:tcW w:w="20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Law,   a   corporation’s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0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and   Articles   of   Association,   our</w:t>
            </w:r>
          </w:p>
        </w:tc>
        <w:tc>
          <w:tcPr>
            <w:tcW w:w="220" w:type="dxa"/>
            <w:vAlign w:val="bottom"/>
          </w:tcPr>
          <w:p>
            <w:pPr>
              <w:spacing w:after="0"/>
              <w:rPr>
                <w:sz w:val="17"/>
                <w:szCs w:val="17"/>
                <w:color w:val="auto"/>
              </w:rPr>
            </w:pPr>
          </w:p>
        </w:tc>
        <w:tc>
          <w:tcPr>
            <w:tcW w:w="312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color w:val="auto"/>
              </w:rPr>
              <w:t>governing documents may be amended</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memorandum and articles of association</w:t>
            </w:r>
          </w:p>
        </w:tc>
        <w:tc>
          <w:tcPr>
            <w:tcW w:w="22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with the approval of a majority of the</w:t>
            </w:r>
          </w:p>
        </w:tc>
        <w:tc>
          <w:tcPr>
            <w:tcW w:w="0" w:type="dxa"/>
            <w:vAlign w:val="bottom"/>
          </w:tcPr>
          <w:p>
            <w:pPr>
              <w:spacing w:after="0"/>
              <w:rPr>
                <w:sz w:val="1"/>
                <w:szCs w:val="1"/>
                <w:color w:val="auto"/>
              </w:rPr>
            </w:pPr>
          </w:p>
        </w:tc>
      </w:tr>
    </w:tbl>
    <w:p>
      <w:pPr>
        <w:ind w:left="220"/>
        <w:spacing w:after="0" w:line="236" w:lineRule="auto"/>
        <w:tabs>
          <w:tab w:leader="none" w:pos="3500" w:val="left"/>
          <w:tab w:leader="none" w:pos="4540" w:val="left"/>
          <w:tab w:leader="none" w:pos="5160" w:val="left"/>
          <w:tab w:leader="none" w:pos="5880" w:val="left"/>
          <w:tab w:leader="none" w:pos="6180" w:val="left"/>
        </w:tabs>
        <w:rPr>
          <w:sz w:val="20"/>
          <w:szCs w:val="20"/>
          <w:color w:val="auto"/>
        </w:rPr>
      </w:pPr>
      <w:r>
        <w:rPr>
          <w:rFonts w:ascii="Times New Roman" w:cs="Times New Roman" w:eastAsia="Times New Roman" w:hAnsi="Times New Roman"/>
          <w:sz w:val="18"/>
          <w:szCs w:val="18"/>
          <w:color w:val="auto"/>
        </w:rPr>
        <w:t>may  only  be  amended  by  a  special</w:t>
        <w:tab/>
        <w:t>outstanding</w:t>
        <w:tab/>
        <w:t>shares</w:t>
        <w:tab/>
        <w:t>entitled</w:t>
        <w:tab/>
        <w:t>to</w:t>
        <w:tab/>
        <w:t>vote,</w:t>
      </w:r>
    </w:p>
    <w:p>
      <w:pPr>
        <w:spacing w:after="0" w:line="1" w:lineRule="exact"/>
        <w:rPr>
          <w:sz w:val="20"/>
          <w:szCs w:val="20"/>
          <w:color w:val="auto"/>
        </w:rPr>
      </w:pPr>
    </w:p>
    <w:p>
      <w:pPr>
        <w:ind w:left="3520" w:right="439" w:hanging="3293"/>
        <w:spacing w:after="0" w:line="243" w:lineRule="auto"/>
        <w:tabs>
          <w:tab w:leader="none" w:pos="3500" w:val="left"/>
        </w:tabs>
        <w:rPr>
          <w:sz w:val="20"/>
          <w:szCs w:val="20"/>
          <w:color w:val="auto"/>
        </w:rPr>
      </w:pPr>
      <w:r>
        <w:rPr>
          <w:rFonts w:ascii="Times New Roman" w:cs="Times New Roman" w:eastAsia="Times New Roman" w:hAnsi="Times New Roman"/>
          <w:sz w:val="18"/>
          <w:szCs w:val="18"/>
          <w:color w:val="auto"/>
        </w:rPr>
        <w:t>resolution of our shareholders.</w:t>
      </w:r>
      <w:r>
        <w:rPr>
          <w:sz w:val="20"/>
          <w:szCs w:val="20"/>
          <w:color w:val="auto"/>
        </w:rPr>
        <w:tab/>
      </w:r>
      <w:r>
        <w:rPr>
          <w:rFonts w:ascii="Times New Roman" w:cs="Times New Roman" w:eastAsia="Times New Roman" w:hAnsi="Times New Roman"/>
          <w:sz w:val="18"/>
          <w:szCs w:val="18"/>
          <w:color w:val="auto"/>
        </w:rPr>
        <w:t>unless the certificate of incorporation provides otherwise.</w:t>
      </w:r>
    </w:p>
    <w:p>
      <w:pPr>
        <w:spacing w:after="0" w:line="1" w:lineRule="exact"/>
        <w:rPr>
          <w:sz w:val="20"/>
          <w:szCs w:val="20"/>
          <w:color w:val="auto"/>
        </w:rPr>
      </w:pPr>
    </w:p>
    <w:p>
      <w:pPr>
        <w:sectPr>
          <w:pgSz w:w="11900" w:h="16838" w:orient="portrait"/>
          <w:cols w:equalWidth="0" w:num="2">
            <w:col w:w="2320" w:space="540"/>
            <w:col w:w="7019"/>
          </w:cols>
          <w:pgMar w:left="580" w:top="97" w:right="1440" w:bottom="1440" w:gutter="0" w:footer="0" w:header="0"/>
          <w:type w:val="continuous"/>
        </w:sectPr>
      </w:pPr>
    </w:p>
    <w:p>
      <w:pPr>
        <w:ind w:left="1260"/>
        <w:spacing w:after="0" w:line="213" w:lineRule="auto"/>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b w:val="1"/>
          <w:bCs w:val="1"/>
          <w:i w:val="1"/>
          <w:iCs w:val="1"/>
          <w:color w:val="auto"/>
        </w:rPr>
        <w:t>Rights of Non-</w:t>
      </w:r>
    </w:p>
    <w:p>
      <w:pPr>
        <w:spacing w:after="0" w:line="20" w:lineRule="exact"/>
        <w:rPr>
          <w:sz w:val="20"/>
          <w:szCs w:val="20"/>
          <w:color w:val="auto"/>
        </w:rPr>
      </w:pPr>
      <w:r>
        <w:rPr>
          <w:sz w:val="20"/>
          <w:szCs w:val="20"/>
          <w:color w:val="auto"/>
        </w:rPr>
        <w:br w:type="column"/>
      </w:r>
    </w:p>
    <w:p>
      <w:pPr>
        <w:spacing w:after="0" w:line="200"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There are no limitations imposed by our</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Under  Delaware  General  Corporation</w:t>
      </w:r>
      <w:r>
        <w:rPr>
          <w:rFonts w:ascii="Times New Roman" w:cs="Times New Roman" w:eastAsia="Times New Roman" w:hAnsi="Times New Roman"/>
          <w:sz w:val="35"/>
          <w:szCs w:val="35"/>
          <w:color w:val="auto"/>
          <w:vertAlign w:val="superscript"/>
        </w:rPr>
        <w:t>​</w:t>
      </w:r>
    </w:p>
    <w:p>
      <w:pPr>
        <w:spacing w:after="0" w:line="2" w:lineRule="exact"/>
        <w:rPr>
          <w:sz w:val="20"/>
          <w:szCs w:val="20"/>
          <w:color w:val="auto"/>
        </w:rPr>
      </w:pPr>
    </w:p>
    <w:p>
      <w:pPr>
        <w:sectPr>
          <w:pgSz w:w="11900" w:h="16838" w:orient="portrait"/>
          <w:cols w:equalWidth="0" w:num="2">
            <w:col w:w="2320" w:space="540"/>
            <w:col w:w="7019"/>
          </w:cols>
          <w:pgMar w:left="580" w:top="97" w:right="1440"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6"/>
          <w:szCs w:val="16"/>
          <w:b w:val="1"/>
          <w:bCs w:val="1"/>
          <w:i w:val="1"/>
          <w:iCs w:val="1"/>
          <w:color w:val="auto"/>
        </w:rPr>
        <w:t>resident or Foreign</w:t>
      </w:r>
    </w:p>
    <w:p>
      <w:pPr>
        <w:spacing w:after="0" w:line="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i w:val="1"/>
          <w:iCs w:val="1"/>
          <w:color w:val="auto"/>
        </w:rPr>
        <w:t>Shareholders</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Times New Roman" w:cs="Times New Roman" w:eastAsia="Times New Roman" w:hAnsi="Times New Roman"/>
          <w:sz w:val="18"/>
          <w:szCs w:val="18"/>
          <w:color w:val="auto"/>
        </w:rPr>
        <w:t>Amended and Restated Memorandum and Articles of Association on the rights of non-resident or foreign shareholders to hold or exercise voting rights on our shares. In addition, there are no provisions in our Amended and Restated Memorandum and Articles of Association that require our company to disclose shareholder ownership above any particular ownership threshold.</w:t>
      </w:r>
    </w:p>
    <w:p>
      <w:pPr>
        <w:spacing w:after="0" w:line="20" w:lineRule="exact"/>
        <w:rPr>
          <w:sz w:val="20"/>
          <w:szCs w:val="20"/>
          <w:color w:val="auto"/>
        </w:rPr>
      </w:pPr>
      <w:r>
        <w:rPr>
          <w:sz w:val="20"/>
          <w:szCs w:val="20"/>
          <w:color w:val="auto"/>
        </w:rPr>
        <w:br w:type="column"/>
      </w:r>
    </w:p>
    <w:p>
      <w:pPr>
        <w:jc w:val="both"/>
        <w:ind w:right="439"/>
        <w:spacing w:after="0"/>
        <w:rPr>
          <w:sz w:val="20"/>
          <w:szCs w:val="20"/>
          <w:color w:val="auto"/>
        </w:rPr>
      </w:pPr>
      <w:r>
        <w:rPr>
          <w:rFonts w:ascii="Times New Roman" w:cs="Times New Roman" w:eastAsia="Times New Roman" w:hAnsi="Times New Roman"/>
          <w:sz w:val="18"/>
          <w:szCs w:val="18"/>
          <w:color w:val="auto"/>
        </w:rPr>
        <w:t>Law, there are no restrictions on foreign shareholders, and all the stock or membership interests in a Delaware company can be owned by non-U.S. nationals.</w:t>
      </w:r>
    </w:p>
    <w:p>
      <w:pPr>
        <w:spacing w:after="0" w:line="1234" w:lineRule="exact"/>
        <w:rPr>
          <w:sz w:val="20"/>
          <w:szCs w:val="20"/>
          <w:color w:val="auto"/>
        </w:rPr>
      </w:pPr>
    </w:p>
    <w:p>
      <w:pPr>
        <w:sectPr>
          <w:pgSz w:w="11900" w:h="16838" w:orient="portrait"/>
          <w:cols w:equalWidth="0" w:num="3">
            <w:col w:w="2820" w:space="260"/>
            <w:col w:w="3080" w:space="220"/>
            <w:col w:w="3499"/>
          </w:cols>
          <w:pgMar w:left="580" w:top="97" w:right="1440" w:bottom="1440" w:gutter="0" w:footer="0" w:header="0"/>
          <w:type w:val="continuous"/>
        </w:sectPr>
      </w:pP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Considerations for Exempted Companies</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are an exempted company incorporated with limited liability under the Companies Act (As Revised) of the Cayman Islands. The Companies Act (As Revised) of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58"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9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6"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8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Rights of Non-Resident or Foreign Shareholders</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There are no limitations imposed by our Amended and Restated Memorandum and Articles of Association on the rights of non-resident or foreign shareholders to hold or exercise voting rights on Ordinary Shares. In addition, there are no provisions in the our Amended and Restated Memorandum and Articles of Association governing the ownership threshold above which shareholder ownership must be disclosed.</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Enforceability of Civil Liability under Cayman Islands Law</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There is uncertainty as to whether the courts of the Cayman Islands would (1) recognize and enforce judgments of courts of the United States obtained against us or our directors or officers that are predicated</w:t>
      </w:r>
    </w:p>
    <w:p>
      <w:pPr>
        <w:sectPr>
          <w:pgSz w:w="11900" w:h="16838" w:orient="portrait"/>
          <w:cols w:equalWidth="0" w:num="1">
            <w:col w:w="9879"/>
          </w:cols>
          <w:pgMar w:left="580" w:top="97" w:right="1440" w:bottom="1440" w:gutter="0" w:footer="0" w:header="0"/>
          <w:type w:val="continuous"/>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upon the civil liability provision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w:t>
      </w:r>
    </w:p>
    <w:p>
      <w:pPr>
        <w:spacing w:after="0" w:line="11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w:t>
      </w:r>
    </w:p>
    <w:p>
      <w:pPr>
        <w:spacing w:after="0" w:line="117"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Anti-Money Laundering — Cayman Islands</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order to comply with legislation or regulations aimed at the prevention of money laundering, we may be required to adopt and maintain anti -money laundering procedures, and may require subscribers to provide evidence to verify their identity. Where permitted, and subject to certain conditions, we may also delegate the maintenance of our anti-money laundering procedures (including the acquisition of due diligence information) to a suitable person.</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reserve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1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also reserve the right to refuse to make any redemption payment to a shareholder if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compliance with any such laws or regulations in any applicable jurisdiction.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Data Protection — Cayman Islands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have certain duties under the Data Protection Act (As Revised) of the Cayman Islands (the “DPA”) based on internationally accepted principles of data privacy.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This privacy notice puts our shareholders on notice that through your investment in us you will provide us with certain personal information which constitutes personal data within the meaning of the DPA (“personal data”). In the following discussion, the “company” refers to us and our affiliates and/or delegates, except where the context requires otherwise.</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Investor Data</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338"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105"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this Affects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transmit the content of this Privacy Notice to such individuals or otherwise advise them of its content.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We May Use a Shareholder’s Personal Data</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as the data controller, may collect, store and use personal data for lawful purposes, including, in particular:</w:t>
      </w:r>
    </w:p>
    <w:p>
      <w:pPr>
        <w:spacing w:after="0" w:line="81" w:lineRule="exact"/>
        <w:rPr>
          <w:sz w:val="20"/>
          <w:szCs w:val="20"/>
          <w:color w:val="auto"/>
        </w:rPr>
      </w:pPr>
    </w:p>
    <w:p>
      <w:pPr>
        <w:ind w:left="1800" w:right="419" w:hanging="180"/>
        <w:spacing w:after="0" w:line="261"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our rights and obligations under any purchase agreements;</w:t>
      </w:r>
    </w:p>
    <w:p>
      <w:pPr>
        <w:spacing w:after="0" w:line="31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we are subject (such as compliance with anti-money laundering and FATCA/CRS requirements); and/or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9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Should we wish to use personal data for other specific purposes (including, if applicable, any purpose that requires your consent), we will contact you.</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Why We May Transfer Your Personal Data</w:t>
      </w:r>
    </w:p>
    <w:p>
      <w:pPr>
        <w:spacing w:after="0" w:line="162"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regulatory authorities, including tax authorities.</w:t>
      </w:r>
    </w:p>
    <w:p>
      <w:pPr>
        <w:spacing w:after="0" w:line="10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anticipate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Data Protection Measures We Take</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Any transfer of personal data by us or our duly authorized affiliates and/or delegates outside of the Cayman Islands shall be in accordance with the requirements of the DPA. 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We shall notify you of any personal data breach that is reasonably likely to result in a risk to your interests, fundamental rights or freedoms or those data subjects to whom the relevant personal data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relates to, among other things, the registration and resale by the Selling Securityholders of up to 34,415,562 Ordinary Shares, including (1) 27,463,627 issued and outstanding Ordinary Shares held by 16 shareholders of Betters Medical, which were issued to Betters Medical in connection with the Business Combination valued at US$10.20 per share and distributed to the existing shareholders of Betters Medical as a stock dividend through a pro rata distribution in proportion to Betters Medical’s shareholding structure on June 25, 2025; (2) 6,028,406 issued and outstanding Sponsor Shares, comprising (x) 5,750,000 Ordinary Shares exchanged from 5,750,000 ExcelFin Class A Common Stock purchased by the Sponsor at a price of approximately US$0.004 per share; and (y) 278,406 Ordinary Shares converted from the aggregate outstanding balance of certain working capital loans provided to ExcelFin by the Sponsor and its affiliates at a conversion price of US$10.20 per share; (3) 50,000 issued and outstanding Ordinary Shares currently held by Cohen, which were issued to Cohen valued at US$10.00 per share; (4) up to 290,000 Ordinary Shares by GFC upon conversion of 290,000 GFC Shares acquired by GFC in a private placement concurrently with the closing of the Business Combination at US$10.00 per share in accordance with the terms of the Amended and Restated Articles of Association of the Company; and (5) 583,529 issued and outstanding Ordinary Shares currently held by Grand Fortune, which were issued to Grand Fortune valued at US$6.75 per share. When we refer to the “Selling Securityholders” in this prospectus, we mean the persons listed in the table below, and the pledgees, donees, transferees, assignees or other successors in interest (that receive any of the securities as a gift, distribution, or other non-sale related transfer) of the persons named in the table below.</w:t>
      </w:r>
    </w:p>
    <w:p>
      <w:pPr>
        <w:spacing w:after="0" w:line="34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table below sets forth, as of the date of this prospectus, the name of the Selling Securityholders for which we are registering securities for resale to the public and the aggregate principal amount that the Selling Securityholders may offer pursuant to this prospectus, assuming the full conversion of GFC Shares into 290,000 Ordinary Shares, and assuming that the Earnout Shares will be vested.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w:t>
      </w:r>
    </w:p>
    <w:p>
      <w:pPr>
        <w:spacing w:after="0" w:line="1" w:lineRule="exact"/>
        <w:rPr>
          <w:sz w:val="20"/>
          <w:szCs w:val="20"/>
          <w:color w:val="auto"/>
        </w:rPr>
      </w:pPr>
    </w:p>
    <w:p>
      <w:pPr>
        <w:jc w:val="both"/>
        <w:ind w:left="1260" w:right="419"/>
        <w:spacing w:after="0" w:line="252" w:lineRule="auto"/>
        <w:tabs>
          <w:tab w:leader="none" w:pos="15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107" w:lineRule="exact"/>
        <w:rPr>
          <w:sz w:val="20"/>
          <w:szCs w:val="20"/>
          <w:color w:val="auto"/>
        </w:rPr>
      </w:pPr>
    </w:p>
    <w:p>
      <w:pPr>
        <w:jc w:val="both"/>
        <w:ind w:left="1260" w:right="399" w:firstLine="360"/>
        <w:spacing w:after="0" w:line="261" w:lineRule="auto"/>
        <w:rPr>
          <w:sz w:val="20"/>
          <w:szCs w:val="20"/>
          <w:color w:val="auto"/>
        </w:rPr>
      </w:pPr>
      <w:r>
        <w:rPr>
          <w:rFonts w:ascii="Times New Roman" w:cs="Times New Roman" w:eastAsia="Times New Roman" w:hAnsi="Times New Roman"/>
          <w:sz w:val="18"/>
          <w:szCs w:val="18"/>
          <w:color w:val="auto"/>
        </w:rPr>
        <w:t>The securities held by certain of the Selling Securityholders are subject to transfer restrictions, as described in the section with the heading “Item 4. Information on the Company — A. History and Development of the Company — Additional Agreements in connection with the Business Combination —  Sponsor Support Agreement” and “— Betters Medical Lock-up Agreement in our 2025 20-F.”</w:t>
      </w:r>
    </w:p>
    <w:p>
      <w:pPr>
        <w:spacing w:after="0" w:line="11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securities. In addition, the Selling Securityholders may sell, transfer or otherwise dispose of, at any time and from time to time, the ordinary shares in transactions exempt from the registration requirements of the Securities Act after the date of this prospectus, subject to applicable law.</w:t>
      </w:r>
    </w:p>
    <w:p>
      <w:pPr>
        <w:spacing w:after="0" w:line="11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Ordinary Shares registered on its behalf. A Selling Securityholder may sell all, some or none of such securities in this offering. See the section titled “Plan of Distribution.”</w:t>
      </w:r>
    </w:p>
    <w:p>
      <w:pPr>
        <w:spacing w:after="0" w:line="106"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securities owned by the persons named below do not have voting rights different from the securities owned by other holders.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prior to this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 sold in this</w:t>
            </w:r>
          </w:p>
        </w:tc>
        <w:tc>
          <w:tcPr>
            <w:tcW w:w="160" w:type="dxa"/>
            <w:vAlign w:val="bottom"/>
          </w:tcPr>
          <w:p>
            <w:pPr>
              <w:spacing w:after="0"/>
              <w:rPr>
                <w:sz w:val="14"/>
                <w:szCs w:val="14"/>
                <w:color w:val="auto"/>
              </w:rPr>
            </w:pPr>
          </w:p>
        </w:tc>
        <w:tc>
          <w:tcPr>
            <w:tcW w:w="2420" w:type="dxa"/>
            <w:vAlign w:val="bottom"/>
            <w:gridSpan w:val="6"/>
          </w:tcPr>
          <w:p>
            <w:pPr>
              <w:jc w:val="center"/>
              <w:ind w:right="1191"/>
              <w:spacing w:after="0"/>
              <w:rPr>
                <w:sz w:val="20"/>
                <w:szCs w:val="20"/>
                <w:color w:val="auto"/>
              </w:rPr>
            </w:pPr>
            <w:r>
              <w:rPr>
                <w:rFonts w:ascii="Times New Roman" w:cs="Times New Roman" w:eastAsia="Times New Roman" w:hAnsi="Times New Roman"/>
                <w:sz w:val="14"/>
                <w:szCs w:val="14"/>
                <w:b w:val="1"/>
                <w:bCs w:val="1"/>
                <w:color w:val="auto"/>
                <w:w w:val="97"/>
              </w:rPr>
              <w:t>owned after this</w:t>
            </w:r>
          </w:p>
        </w:tc>
      </w:tr>
      <w:tr>
        <w:trPr>
          <w:trHeight w:val="214"/>
        </w:trPr>
        <w:tc>
          <w:tcPr>
            <w:tcW w:w="1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00" w:type="dxa"/>
            <w:vAlign w:val="bottom"/>
          </w:tcPr>
          <w:p>
            <w:pPr>
              <w:spacing w:after="0"/>
              <w:rPr>
                <w:sz w:val="18"/>
                <w:szCs w:val="18"/>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6"/>
              </w:rPr>
              <w:t>offering</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20" w:type="dxa"/>
            <w:vAlign w:val="bottom"/>
          </w:tcPr>
          <w:p>
            <w:pPr>
              <w:spacing w:after="0"/>
              <w:rPr>
                <w:sz w:val="18"/>
                <w:szCs w:val="18"/>
                <w:color w:val="auto"/>
              </w:rPr>
            </w:pPr>
          </w:p>
        </w:tc>
        <w:tc>
          <w:tcPr>
            <w:tcW w:w="1260" w:type="dxa"/>
            <w:vAlign w:val="bottom"/>
          </w:tcPr>
          <w:p>
            <w:pPr>
              <w:jc w:val="right"/>
              <w:ind w:right="113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Pr>
          <w:p>
            <w:pPr>
              <w:spacing w:after="0"/>
              <w:rPr>
                <w:sz w:val="14"/>
                <w:szCs w:val="14"/>
                <w:color w:val="auto"/>
              </w:rPr>
            </w:pPr>
          </w:p>
        </w:tc>
        <w:tc>
          <w:tcPr>
            <w:tcW w:w="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1520" w:type="dxa"/>
            <w:vAlign w:val="bottom"/>
            <w:gridSpan w:val="6"/>
          </w:tcPr>
          <w:p>
            <w:pPr>
              <w:jc w:val="right"/>
              <w:ind w:right="28"/>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76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8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Shares</w:t>
            </w:r>
            <w:r>
              <w:rPr>
                <w:rFonts w:ascii="Times New Roman" w:cs="Times New Roman" w:eastAsia="Times New Roman" w:hAnsi="Times New Roman"/>
                <w:sz w:val="15"/>
                <w:szCs w:val="15"/>
                <w:b w:val="1"/>
                <w:bCs w:val="1"/>
                <w:color w:val="auto"/>
                <w:vertAlign w:val="superscript"/>
              </w:rPr>
              <w:t>(1)(2)</w:t>
            </w:r>
          </w:p>
        </w:tc>
        <w:tc>
          <w:tcPr>
            <w:tcW w:w="1800" w:type="dxa"/>
            <w:vAlign w:val="bottom"/>
            <w:gridSpan w:val="4"/>
          </w:tcPr>
          <w:p>
            <w:pPr>
              <w:jc w:val="right"/>
              <w:ind w:right="1131"/>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3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8"/>
                <w:szCs w:val="18"/>
                <w:color w:val="auto"/>
              </w:rPr>
              <w:t>ExcelFin SPAC LLC</w:t>
            </w:r>
            <w:r>
              <w:rPr>
                <w:rFonts w:ascii="Times New Roman" w:cs="Times New Roman" w:eastAsia="Times New Roman" w:hAnsi="Times New Roman"/>
                <w:sz w:val="23"/>
                <w:szCs w:val="23"/>
                <w:color w:val="auto"/>
                <w:vertAlign w:val="superscript"/>
              </w:rPr>
              <w:t>(3)</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4,773,406​​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4,773,406​​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4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Nautilus Master Fund LP</w:t>
            </w:r>
            <w:r>
              <w:rPr>
                <w:rFonts w:ascii="Times New Roman" w:cs="Times New Roman" w:eastAsia="Times New Roman" w:hAnsi="Times New Roman"/>
                <w:sz w:val="23"/>
                <w:szCs w:val="23"/>
                <w:color w:val="auto"/>
                <w:vertAlign w:val="superscript"/>
              </w:rPr>
              <w:t>(4)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125,000​​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0.3​​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4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Highbridge Tactical Credit Master Fund LP</w:t>
            </w:r>
            <w:r>
              <w:rPr>
                <w:rFonts w:ascii="Times New Roman" w:cs="Times New Roman" w:eastAsia="Times New Roman" w:hAnsi="Times New Roman"/>
                <w:sz w:val="23"/>
                <w:szCs w:val="23"/>
                <w:color w:val="auto"/>
                <w:vertAlign w:val="superscript"/>
              </w:rPr>
              <w:t>(5)</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0.3​​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99,625​​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4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Highbridge Tactical Credit Institutional Fund Ltd</w:t>
            </w:r>
            <w:r>
              <w:rPr>
                <w:rFonts w:ascii="Times New Roman" w:cs="Times New Roman" w:eastAsia="Times New Roman" w:hAnsi="Times New Roman"/>
                <w:sz w:val="23"/>
                <w:szCs w:val="23"/>
                <w:color w:val="auto"/>
                <w:vertAlign w:val="superscript"/>
              </w:rPr>
              <w:t>(6)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25,375​​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25,375​​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4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Radcliffe SPAC Master Fund LP</w:t>
            </w:r>
            <w:r>
              <w:rPr>
                <w:rFonts w:ascii="Times New Roman" w:cs="Times New Roman" w:eastAsia="Times New Roman" w:hAnsi="Times New Roman"/>
                <w:sz w:val="23"/>
                <w:szCs w:val="23"/>
                <w:color w:val="auto"/>
                <w:vertAlign w:val="superscript"/>
              </w:rPr>
              <w:t>(7)</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0.3​​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4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Fir Tree Value Master Fund LP</w:t>
            </w:r>
            <w:r>
              <w:rPr>
                <w:rFonts w:ascii="Times New Roman" w:cs="Times New Roman" w:eastAsia="Times New Roman" w:hAnsi="Times New Roman"/>
                <w:sz w:val="23"/>
                <w:szCs w:val="23"/>
                <w:color w:val="auto"/>
                <w:vertAlign w:val="superscript"/>
              </w:rPr>
              <w:t>(8)</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1,669​​ ​</w:t>
            </w:r>
            <w:r>
              <w:rPr>
                <w:rFonts w:ascii="Times New Roman" w:cs="Times New Roman" w:eastAsia="Times New Roman" w:hAnsi="Times New Roman"/>
                <w:sz w:val="18"/>
                <w:szCs w:val="18"/>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1,669​​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 Tree Capital Opportunity Master Fund LP</w:t>
            </w:r>
            <w:r>
              <w:rPr>
                <w:rFonts w:ascii="Times New Roman" w:cs="Times New Roman" w:eastAsia="Times New Roman" w:hAnsi="Times New Roman"/>
                <w:sz w:val="23"/>
                <w:szCs w:val="23"/>
                <w:color w:val="auto"/>
                <w:vertAlign w:val="superscript"/>
              </w:rPr>
              <w:t>(9)</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1,018​​ ​</w:t>
            </w:r>
            <w:r>
              <w:rPr>
                <w:rFonts w:ascii="Times New Roman" w:cs="Times New Roman" w:eastAsia="Times New Roman" w:hAnsi="Times New Roman"/>
                <w:sz w:val="18"/>
                <w:szCs w:val="18"/>
                <w:b w:val="1"/>
                <w:bCs w:val="1"/>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Fir Tree Capital Opportunity Master Fund III LP</w:t>
            </w:r>
            <w:r>
              <w:rPr>
                <w:rFonts w:ascii="Times New Roman" w:cs="Times New Roman" w:eastAsia="Times New Roman" w:hAnsi="Times New Roman"/>
                <w:sz w:val="23"/>
                <w:szCs w:val="23"/>
                <w:color w:val="auto"/>
                <w:vertAlign w:val="superscript"/>
              </w:rPr>
              <w:t>(10)</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1,667​​ ​</w:t>
            </w:r>
            <w:r>
              <w:rPr>
                <w:rFonts w:ascii="Times New Roman" w:cs="Times New Roman" w:eastAsia="Times New Roman" w:hAnsi="Times New Roman"/>
                <w:sz w:val="18"/>
                <w:szCs w:val="18"/>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1,667​​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FT SOF XIII (SPAC) Holdings LLC</w:t>
            </w:r>
            <w:r>
              <w:rPr>
                <w:rFonts w:ascii="Times New Roman" w:cs="Times New Roman" w:eastAsia="Times New Roman" w:hAnsi="Times New Roman"/>
                <w:sz w:val="23"/>
                <w:szCs w:val="23"/>
                <w:color w:val="auto"/>
                <w:vertAlign w:val="superscript"/>
              </w:rPr>
              <w:t>(11)</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Boston Patriot Merrimack St LLC</w:t>
            </w:r>
            <w:r>
              <w:rPr>
                <w:rFonts w:ascii="Times New Roman" w:cs="Times New Roman" w:eastAsia="Times New Roman" w:hAnsi="Times New Roman"/>
                <w:sz w:val="23"/>
                <w:szCs w:val="23"/>
                <w:color w:val="auto"/>
                <w:vertAlign w:val="superscript"/>
              </w:rPr>
              <w:t>(12)</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96,421​​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0.3​​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96,421​​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Camac Fund LP</w:t>
            </w:r>
            <w:r>
              <w:rPr>
                <w:rFonts w:ascii="Times New Roman" w:cs="Times New Roman" w:eastAsia="Times New Roman" w:hAnsi="Times New Roman"/>
                <w:sz w:val="23"/>
                <w:szCs w:val="23"/>
                <w:color w:val="auto"/>
                <w:vertAlign w:val="superscript"/>
              </w:rPr>
              <w:t>(13)</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Exos Collateralized SPAC Holdings Fund LP</w:t>
            </w:r>
            <w:r>
              <w:rPr>
                <w:rFonts w:ascii="Times New Roman" w:cs="Times New Roman" w:eastAsia="Times New Roman" w:hAnsi="Times New Roman"/>
                <w:sz w:val="23"/>
                <w:szCs w:val="23"/>
                <w:color w:val="auto"/>
                <w:vertAlign w:val="superscript"/>
              </w:rPr>
              <w:t>(14)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80,000​​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AQR Absolute Return Master Account LP</w:t>
            </w:r>
            <w:r>
              <w:rPr>
                <w:rFonts w:ascii="Times New Roman" w:cs="Times New Roman" w:eastAsia="Times New Roman" w:hAnsi="Times New Roman"/>
                <w:sz w:val="23"/>
                <w:szCs w:val="23"/>
                <w:color w:val="auto"/>
                <w:vertAlign w:val="superscript"/>
              </w:rPr>
              <w:t>(15)</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AQR SPAC Opportunities Offshore Fund LP</w:t>
            </w:r>
            <w:r>
              <w:rPr>
                <w:rFonts w:ascii="Times New Roman" w:cs="Times New Roman" w:eastAsia="Times New Roman" w:hAnsi="Times New Roman"/>
                <w:sz w:val="23"/>
                <w:szCs w:val="23"/>
                <w:color w:val="auto"/>
                <w:vertAlign w:val="superscript"/>
              </w:rPr>
              <w:t>(16)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3,425​​ ​</w:t>
            </w:r>
            <w:r>
              <w:rPr>
                <w:rFonts w:ascii="Times New Roman" w:cs="Times New Roman" w:eastAsia="Times New Roman" w:hAnsi="Times New Roman"/>
                <w:sz w:val="18"/>
                <w:szCs w:val="18"/>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3,425​​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AQR TA Global Alpha Fund LP</w:t>
            </w:r>
            <w:r>
              <w:rPr>
                <w:rFonts w:ascii="Times New Roman" w:cs="Times New Roman" w:eastAsia="Times New Roman" w:hAnsi="Times New Roman"/>
                <w:sz w:val="23"/>
                <w:szCs w:val="23"/>
                <w:color w:val="auto"/>
                <w:vertAlign w:val="superscript"/>
              </w:rPr>
              <w:t>(17)</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AQR Funds – AQR Diversified Arbitrage Fund</w:t>
            </w:r>
            <w:r>
              <w:rPr>
                <w:rFonts w:ascii="Times New Roman" w:cs="Times New Roman" w:eastAsia="Times New Roman" w:hAnsi="Times New Roman"/>
                <w:sz w:val="23"/>
                <w:szCs w:val="23"/>
                <w:color w:val="auto"/>
                <w:vertAlign w:val="superscript"/>
              </w:rPr>
              <w:t>(18)</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46,529​​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46,529​​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48"/>
        </w:trPr>
        <w:tc>
          <w:tcPr>
            <w:tcW w:w="126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AQR Global Alternative Investment Offshore Fund LP-</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1"/>
        </w:trPr>
        <w:tc>
          <w:tcPr>
            <w:tcW w:w="1260" w:type="dxa"/>
            <w:vAlign w:val="bottom"/>
          </w:tcPr>
          <w:p>
            <w:pPr>
              <w:spacing w:after="0"/>
              <w:rPr>
                <w:sz w:val="21"/>
                <w:szCs w:val="21"/>
                <w:color w:val="auto"/>
              </w:rPr>
            </w:pPr>
          </w:p>
        </w:tc>
        <w:tc>
          <w:tcPr>
            <w:tcW w:w="4360" w:type="dxa"/>
            <w:vAlign w:val="bottom"/>
            <w:shd w:val="clear" w:color="auto" w:fill="CCEEFF"/>
          </w:tcPr>
          <w:p>
            <w:pPr>
              <w:ind w:left="180"/>
              <w:spacing w:after="0" w:line="251" w:lineRule="exact"/>
              <w:rPr>
                <w:sz w:val="20"/>
                <w:szCs w:val="20"/>
                <w:color w:val="auto"/>
              </w:rPr>
            </w:pPr>
            <w:r>
              <w:rPr>
                <w:rFonts w:ascii="Times New Roman" w:cs="Times New Roman" w:eastAsia="Times New Roman" w:hAnsi="Times New Roman"/>
                <w:sz w:val="18"/>
                <w:szCs w:val="18"/>
                <w:color w:val="auto"/>
              </w:rPr>
              <w:t>SPACs Sleeve</w:t>
            </w:r>
            <w:r>
              <w:rPr>
                <w:rFonts w:ascii="Times New Roman" w:cs="Times New Roman" w:eastAsia="Times New Roman" w:hAnsi="Times New Roman"/>
                <w:sz w:val="23"/>
                <w:szCs w:val="23"/>
                <w:color w:val="auto"/>
                <w:vertAlign w:val="superscript"/>
              </w:rPr>
              <w:t>(19)</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62,275​​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James Lee Lapp</w:t>
            </w:r>
            <w:r>
              <w:rPr>
                <w:rFonts w:ascii="Times New Roman" w:cs="Times New Roman" w:eastAsia="Times New Roman" w:hAnsi="Times New Roman"/>
                <w:sz w:val="23"/>
                <w:szCs w:val="23"/>
                <w:color w:val="auto"/>
                <w:vertAlign w:val="superscript"/>
              </w:rPr>
              <w:t>(20)</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12,500​​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Perga Capital Partners LP</w:t>
            </w:r>
            <w:r>
              <w:rPr>
                <w:rFonts w:ascii="Times New Roman" w:cs="Times New Roman" w:eastAsia="Times New Roman" w:hAnsi="Times New Roman"/>
                <w:sz w:val="23"/>
                <w:szCs w:val="23"/>
                <w:color w:val="auto"/>
                <w:vertAlign w:val="superscript"/>
              </w:rPr>
              <w:t>(21)</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TQ Master Fund LP</w:t>
            </w:r>
            <w:r>
              <w:rPr>
                <w:rFonts w:ascii="Times New Roman" w:cs="Times New Roman" w:eastAsia="Times New Roman" w:hAnsi="Times New Roman"/>
                <w:sz w:val="23"/>
                <w:szCs w:val="23"/>
                <w:color w:val="auto"/>
                <w:vertAlign w:val="superscript"/>
              </w:rPr>
              <w:t>(22)</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50,000​​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RLH SPAC Fund LP</w:t>
            </w:r>
            <w:r>
              <w:rPr>
                <w:rFonts w:ascii="Times New Roman" w:cs="Times New Roman" w:eastAsia="Times New Roman" w:hAnsi="Times New Roman"/>
                <w:sz w:val="23"/>
                <w:szCs w:val="23"/>
                <w:color w:val="auto"/>
                <w:vertAlign w:val="superscript"/>
              </w:rPr>
              <w:t>(23)</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BoothBay Absolute Return Strategies LP</w:t>
            </w:r>
            <w:r>
              <w:rPr>
                <w:rFonts w:ascii="Times New Roman" w:cs="Times New Roman" w:eastAsia="Times New Roman" w:hAnsi="Times New Roman"/>
                <w:sz w:val="23"/>
                <w:szCs w:val="23"/>
                <w:color w:val="auto"/>
                <w:vertAlign w:val="superscript"/>
              </w:rPr>
              <w:t>(24)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33,733​​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33,733​​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Boothbay Diversified Alpha Master Fund LP</w:t>
            </w:r>
            <w:r>
              <w:rPr>
                <w:rFonts w:ascii="Times New Roman" w:cs="Times New Roman" w:eastAsia="Times New Roman" w:hAnsi="Times New Roman"/>
                <w:sz w:val="23"/>
                <w:szCs w:val="23"/>
                <w:color w:val="auto"/>
                <w:vertAlign w:val="superscript"/>
              </w:rPr>
              <w:t>(25)</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Sandia Crest LP</w:t>
            </w:r>
            <w:r>
              <w:rPr>
                <w:rFonts w:ascii="Times New Roman" w:cs="Times New Roman" w:eastAsia="Times New Roman" w:hAnsi="Times New Roman"/>
                <w:sz w:val="23"/>
                <w:szCs w:val="23"/>
                <w:color w:val="auto"/>
                <w:vertAlign w:val="superscript"/>
              </w:rPr>
              <w:t>(26)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17,993​​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17,993​​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Crestline Summit Master SPC – Peak SP</w:t>
            </w:r>
            <w:r>
              <w:rPr>
                <w:rFonts w:ascii="Times New Roman" w:cs="Times New Roman" w:eastAsia="Times New Roman" w:hAnsi="Times New Roman"/>
                <w:sz w:val="23"/>
                <w:szCs w:val="23"/>
                <w:color w:val="auto"/>
                <w:vertAlign w:val="superscript"/>
              </w:rPr>
              <w:t>(27)</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26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Crestline Summit Master SPC – Crestline Summit APEX</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1"/>
        </w:trPr>
        <w:tc>
          <w:tcPr>
            <w:tcW w:w="1260" w:type="dxa"/>
            <w:vAlign w:val="bottom"/>
          </w:tcPr>
          <w:p>
            <w:pPr>
              <w:spacing w:after="0"/>
              <w:rPr>
                <w:sz w:val="21"/>
                <w:szCs w:val="21"/>
                <w:color w:val="auto"/>
              </w:rPr>
            </w:pPr>
          </w:p>
        </w:tc>
        <w:tc>
          <w:tcPr>
            <w:tcW w:w="4360" w:type="dxa"/>
            <w:vAlign w:val="bottom"/>
          </w:tcPr>
          <w:p>
            <w:pPr>
              <w:ind w:left="180"/>
              <w:spacing w:after="0" w:line="251" w:lineRule="exact"/>
              <w:rPr>
                <w:sz w:val="20"/>
                <w:szCs w:val="20"/>
                <w:color w:val="auto"/>
              </w:rPr>
            </w:pPr>
            <w:r>
              <w:rPr>
                <w:rFonts w:ascii="Times New Roman" w:cs="Times New Roman" w:eastAsia="Times New Roman" w:hAnsi="Times New Roman"/>
                <w:sz w:val="29"/>
                <w:szCs w:val="29"/>
                <w:color w:val="auto"/>
                <w:vertAlign w:val="subscript"/>
              </w:rPr>
              <w:t>SP</w:t>
            </w:r>
            <w:r>
              <w:rPr>
                <w:rFonts w:ascii="Times New Roman" w:cs="Times New Roman" w:eastAsia="Times New Roman" w:hAnsi="Times New Roman"/>
                <w:sz w:val="11"/>
                <w:szCs w:val="11"/>
                <w:color w:val="auto"/>
              </w:rPr>
              <w:t>(28)</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3,559​​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3,559​​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Walleye Opportunities Master Fund Ltd</w:t>
            </w:r>
            <w:r>
              <w:rPr>
                <w:rFonts w:ascii="Times New Roman" w:cs="Times New Roman" w:eastAsia="Times New Roman" w:hAnsi="Times New Roman"/>
                <w:sz w:val="23"/>
                <w:szCs w:val="23"/>
                <w:color w:val="auto"/>
                <w:vertAlign w:val="superscript"/>
              </w:rPr>
              <w:t>(29)</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16,887​​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Walleye Investments Fund LLC</w:t>
            </w:r>
            <w:r>
              <w:rPr>
                <w:rFonts w:ascii="Times New Roman" w:cs="Times New Roman" w:eastAsia="Times New Roman" w:hAnsi="Times New Roman"/>
                <w:sz w:val="23"/>
                <w:szCs w:val="23"/>
                <w:color w:val="auto"/>
                <w:vertAlign w:val="superscript"/>
              </w:rPr>
              <w:t>(30)</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8,446​​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8,446​​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Tenor Opportunity Master Fund Ltd</w:t>
            </w:r>
            <w:r>
              <w:rPr>
                <w:rFonts w:ascii="Times New Roman" w:cs="Times New Roman" w:eastAsia="Times New Roman" w:hAnsi="Times New Roman"/>
                <w:sz w:val="23"/>
                <w:szCs w:val="23"/>
                <w:color w:val="auto"/>
                <w:vertAlign w:val="superscript"/>
              </w:rPr>
              <w:t>(31)</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Fifth Lane Partners Fund LP</w:t>
            </w:r>
            <w:r>
              <w:rPr>
                <w:rFonts w:ascii="Times New Roman" w:cs="Times New Roman" w:eastAsia="Times New Roman" w:hAnsi="Times New Roman"/>
                <w:sz w:val="23"/>
                <w:szCs w:val="23"/>
                <w:color w:val="auto"/>
                <w:vertAlign w:val="superscript"/>
              </w:rPr>
              <w:t>(32)</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125,000​​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0.3​​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King International Limited</w:t>
            </w:r>
            <w:r>
              <w:rPr>
                <w:rFonts w:ascii="Times New Roman" w:cs="Times New Roman" w:eastAsia="Times New Roman" w:hAnsi="Times New Roman"/>
                <w:sz w:val="23"/>
                <w:szCs w:val="23"/>
                <w:color w:val="auto"/>
                <w:vertAlign w:val="superscript"/>
              </w:rPr>
              <w:t>(33)</w:t>
            </w:r>
          </w:p>
        </w:tc>
        <w:tc>
          <w:tcPr>
            <w:tcW w:w="268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18,195,281​​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18,195,281​​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Brilliant Cut Limited</w:t>
            </w:r>
            <w:r>
              <w:rPr>
                <w:rFonts w:ascii="Times New Roman" w:cs="Times New Roman" w:eastAsia="Times New Roman" w:hAnsi="Times New Roman"/>
                <w:sz w:val="23"/>
                <w:szCs w:val="23"/>
                <w:color w:val="auto"/>
                <w:vertAlign w:val="superscript"/>
              </w:rPr>
              <w:t>(34)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1,362,369​​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1,362,369​​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Daily Charm Holdings Limited</w:t>
            </w:r>
            <w:r>
              <w:rPr>
                <w:rFonts w:ascii="Times New Roman" w:cs="Times New Roman" w:eastAsia="Times New Roman" w:hAnsi="Times New Roman"/>
                <w:sz w:val="23"/>
                <w:szCs w:val="23"/>
                <w:color w:val="auto"/>
                <w:vertAlign w:val="superscript"/>
              </w:rPr>
              <w:t>(35)</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1,329,505​​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3.6​​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1,329,505​​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Cosmic Discovery Limited</w:t>
            </w:r>
            <w:r>
              <w:rPr>
                <w:rFonts w:ascii="Times New Roman" w:cs="Times New Roman" w:eastAsia="Times New Roman" w:hAnsi="Times New Roman"/>
                <w:sz w:val="23"/>
                <w:szCs w:val="23"/>
                <w:color w:val="auto"/>
                <w:vertAlign w:val="superscript"/>
              </w:rPr>
              <w:t>(36)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765,181​​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765,181​​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Rainbow Avenue Limited</w:t>
            </w:r>
            <w:r>
              <w:rPr>
                <w:rFonts w:ascii="Times New Roman" w:cs="Times New Roman" w:eastAsia="Times New Roman" w:hAnsi="Times New Roman"/>
                <w:sz w:val="23"/>
                <w:szCs w:val="23"/>
                <w:color w:val="auto"/>
                <w:vertAlign w:val="superscript"/>
              </w:rPr>
              <w:t>(37)</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697,840​​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697,840​​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Mighty Sino International Limited</w:t>
            </w:r>
            <w:r>
              <w:rPr>
                <w:rFonts w:ascii="Times New Roman" w:cs="Times New Roman" w:eastAsia="Times New Roman" w:hAnsi="Times New Roman"/>
                <w:sz w:val="23"/>
                <w:szCs w:val="23"/>
                <w:color w:val="auto"/>
                <w:vertAlign w:val="superscript"/>
              </w:rPr>
              <w:t>(38)</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697,083​​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697,083​​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Pride Supreme Limited</w:t>
            </w:r>
            <w:r>
              <w:rPr>
                <w:rFonts w:ascii="Times New Roman" w:cs="Times New Roman" w:eastAsia="Times New Roman" w:hAnsi="Times New Roman"/>
                <w:sz w:val="23"/>
                <w:szCs w:val="23"/>
                <w:color w:val="auto"/>
                <w:vertAlign w:val="superscript"/>
              </w:rPr>
              <w:t>(39)</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480,283​​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480,283​​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39"/>
        </w:trPr>
        <w:tc>
          <w:tcPr>
            <w:tcW w:w="126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Good Hero Global Limited</w:t>
            </w:r>
            <w:r>
              <w:rPr>
                <w:rFonts w:ascii="Times New Roman" w:cs="Times New Roman" w:eastAsia="Times New Roman" w:hAnsi="Times New Roman"/>
                <w:sz w:val="23"/>
                <w:szCs w:val="23"/>
                <w:color w:val="auto"/>
                <w:vertAlign w:val="superscript"/>
              </w:rPr>
              <w:t>(40)</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389,738​​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 ​</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389,738​​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552"/>
        </w:trPr>
        <w:tc>
          <w:tcPr>
            <w:tcW w:w="1260" w:type="dxa"/>
            <w:vAlign w:val="bottom"/>
          </w:tcPr>
          <w:p>
            <w:pPr>
              <w:spacing w:after="0"/>
              <w:rPr>
                <w:sz w:val="24"/>
                <w:szCs w:val="24"/>
                <w:color w:val="auto"/>
              </w:rPr>
            </w:pPr>
          </w:p>
        </w:tc>
        <w:tc>
          <w:tcPr>
            <w:tcW w:w="43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-7423150</wp:posOffset>
            </wp:positionV>
            <wp:extent cx="1028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-7423150</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-7423150</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-7423150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-7423150</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to</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beneficially</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8"/>
              </w:rPr>
              <w:t>owned prior to this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 sold in this</w:t>
            </w:r>
          </w:p>
        </w:tc>
        <w:tc>
          <w:tcPr>
            <w:tcW w:w="180" w:type="dxa"/>
            <w:vAlign w:val="bottom"/>
          </w:tcPr>
          <w:p>
            <w:pPr>
              <w:spacing w:after="0"/>
              <w:rPr>
                <w:sz w:val="14"/>
                <w:szCs w:val="14"/>
                <w:color w:val="auto"/>
              </w:rPr>
            </w:pPr>
          </w:p>
        </w:tc>
        <w:tc>
          <w:tcPr>
            <w:tcW w:w="112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owned after this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offering</w:t>
            </w:r>
          </w:p>
        </w:tc>
        <w:tc>
          <w:tcPr>
            <w:tcW w:w="26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6"/>
              </w:rPr>
              <w:t>offering</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740" w:type="dxa"/>
            <w:vAlign w:val="bottom"/>
            <w:gridSpan w:val="5"/>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6"/>
              </w:rPr>
              <w:t>offering</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80" w:type="dxa"/>
            <w:vAlign w:val="bottom"/>
          </w:tcPr>
          <w:p>
            <w:pPr>
              <w:spacing w:after="0"/>
              <w:rPr>
                <w:sz w:val="14"/>
                <w:szCs w:val="14"/>
                <w:color w:val="auto"/>
              </w:rPr>
            </w:pPr>
          </w:p>
        </w:tc>
        <w:tc>
          <w:tcPr>
            <w:tcW w:w="6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gridSpan w:val="2"/>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w:t>
            </w:r>
          </w:p>
        </w:tc>
        <w:tc>
          <w:tcPr>
            <w:tcW w:w="26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80" w:type="dxa"/>
            <w:vAlign w:val="bottom"/>
            <w:gridSpan w:val="11"/>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Shares</w:t>
            </w:r>
            <w:r>
              <w:rPr>
                <w:rFonts w:ascii="Times New Roman" w:cs="Times New Roman" w:eastAsia="Times New Roman" w:hAnsi="Times New Roman"/>
                <w:sz w:val="15"/>
                <w:szCs w:val="15"/>
                <w:b w:val="1"/>
                <w:bCs w:val="1"/>
                <w:color w:val="auto"/>
                <w:vertAlign w:val="superscript"/>
              </w:rPr>
              <w:t>(1)(2)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4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Tiger Goal Limited</w:t>
            </w:r>
            <w:r>
              <w:rPr>
                <w:rFonts w:ascii="Times New Roman" w:cs="Times New Roman" w:eastAsia="Times New Roman" w:hAnsi="Times New Roman"/>
                <w:sz w:val="23"/>
                <w:szCs w:val="23"/>
                <w:color w:val="auto"/>
                <w:vertAlign w:val="superscript"/>
              </w:rPr>
              <w:t>(41)</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293,349​​ ​​ 0.8​​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293,349​​ ​</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Major Delight Limited</w:t>
            </w:r>
            <w:r>
              <w:rPr>
                <w:rFonts w:ascii="Times New Roman" w:cs="Times New Roman" w:eastAsia="Times New Roman" w:hAnsi="Times New Roman"/>
                <w:sz w:val="23"/>
                <w:szCs w:val="23"/>
                <w:color w:val="auto"/>
                <w:vertAlign w:val="superscript"/>
              </w:rPr>
              <w:t>(42)</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145,410​​ ​​ 0.4​​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145,410​​ ​</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Success Avenue Limited</w:t>
            </w:r>
            <w:r>
              <w:rPr>
                <w:rFonts w:ascii="Times New Roman" w:cs="Times New Roman" w:eastAsia="Times New Roman" w:hAnsi="Times New Roman"/>
                <w:sz w:val="23"/>
                <w:szCs w:val="23"/>
                <w:color w:val="auto"/>
                <w:vertAlign w:val="superscript"/>
              </w:rPr>
              <w:t>(43)</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130,599​​ ​​ 0.4​​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130,599​​ ​</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Grand Fortune Capital (H.K.) Company Limited</w:t>
            </w:r>
            <w:r>
              <w:rPr>
                <w:rFonts w:ascii="Times New Roman" w:cs="Times New Roman" w:eastAsia="Times New Roman" w:hAnsi="Times New Roman"/>
                <w:sz w:val="23"/>
                <w:szCs w:val="23"/>
                <w:color w:val="auto"/>
                <w:vertAlign w:val="superscript"/>
              </w:rPr>
              <w:t>(44)</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2,464,985​​ ​​ 6.7​​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2,464,985​​ ​</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Grand Fortune Capital, LLC</w:t>
            </w:r>
            <w:r>
              <w:rPr>
                <w:rFonts w:ascii="Times New Roman" w:cs="Times New Roman" w:eastAsia="Times New Roman" w:hAnsi="Times New Roman"/>
                <w:sz w:val="23"/>
                <w:szCs w:val="23"/>
                <w:color w:val="auto"/>
                <w:vertAlign w:val="superscript"/>
              </w:rPr>
              <w:t>(44)</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290,000​​ ​​ 0.8​​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290,000​​ ​</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Courage Elite Limited</w:t>
            </w:r>
            <w:r>
              <w:rPr>
                <w:rFonts w:ascii="Times New Roman" w:cs="Times New Roman" w:eastAsia="Times New Roman" w:hAnsi="Times New Roman"/>
                <w:sz w:val="23"/>
                <w:szCs w:val="23"/>
                <w:color w:val="auto"/>
                <w:vertAlign w:val="superscript"/>
              </w:rPr>
              <w:t>(45)</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512,848​​ ​​ 1.4​​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512,848​​ ​</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China Venture Capital (Hong Kong) Co., Limited</w:t>
            </w:r>
            <w:r>
              <w:rPr>
                <w:rFonts w:ascii="Times New Roman" w:cs="Times New Roman" w:eastAsia="Times New Roman" w:hAnsi="Times New Roman"/>
                <w:sz w:val="23"/>
                <w:szCs w:val="23"/>
                <w:color w:val="auto"/>
                <w:vertAlign w:val="superscript"/>
              </w:rPr>
              <w:t>(46)</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256,425​​ ​​ 0.7​​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256,425​​ ​</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IPE Group Limited</w:t>
            </w:r>
            <w:r>
              <w:rPr>
                <w:rFonts w:ascii="Times New Roman" w:cs="Times New Roman" w:eastAsia="Times New Roman" w:hAnsi="Times New Roman"/>
                <w:sz w:val="23"/>
                <w:szCs w:val="23"/>
                <w:color w:val="auto"/>
                <w:vertAlign w:val="superscript"/>
              </w:rPr>
              <w:t>(47)</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256,425​​ ​​ 0.7​​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256,425​​ ​</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Weitian Limited</w:t>
            </w:r>
            <w:r>
              <w:rPr>
                <w:rFonts w:ascii="Times New Roman" w:cs="Times New Roman" w:eastAsia="Times New Roman" w:hAnsi="Times New Roman"/>
                <w:sz w:val="23"/>
                <w:szCs w:val="23"/>
                <w:color w:val="auto"/>
                <w:vertAlign w:val="superscript"/>
              </w:rPr>
              <w:t>(48)</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69,835​​ ​​ 0.2​​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69,835​​ ​</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J.V.B. Financial Group, LLC</w:t>
            </w:r>
            <w:r>
              <w:rPr>
                <w:rFonts w:ascii="Times New Roman" w:cs="Times New Roman" w:eastAsia="Times New Roman" w:hAnsi="Times New Roman"/>
                <w:sz w:val="23"/>
                <w:szCs w:val="23"/>
                <w:color w:val="auto"/>
                <w:vertAlign w:val="superscript"/>
              </w:rPr>
              <w:t>(49)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760" w:type="dxa"/>
            <w:vAlign w:val="bottom"/>
          </w:tcPr>
          <w:p>
            <w:pPr>
              <w:spacing w:after="0"/>
              <w:rPr>
                <w:sz w:val="4"/>
                <w:szCs w:val="4"/>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3"/>
                <w:szCs w:val="3"/>
                <w:color w:val="auto"/>
              </w:rPr>
              <w:t>​​ ​​</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7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3"/>
                <w:szCs w:val="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3"/>
                <w:szCs w:val="3"/>
                <w:color w:val="auto"/>
              </w:rPr>
              <w:t>​ ​ ​​</w:t>
            </w: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00" w:type="dxa"/>
            <w:vAlign w:val="bottom"/>
            <w:gridSpan w:val="12"/>
          </w:tcPr>
          <w:p>
            <w:pPr>
              <w:ind w:left="4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​34,415,562</w:t>
            </w: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​93.0</w:t>
            </w: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​34,415,562</w:t>
            </w:r>
            <w:r>
              <w:rPr>
                <w:rFonts w:ascii="Times New Roman" w:cs="Times New Roman" w:eastAsia="Times New Roman" w:hAnsi="Times New Roman"/>
                <w:sz w:val="27"/>
                <w:szCs w:val="27"/>
                <w:color w:val="auto"/>
                <w:vertAlign w:val="subscript"/>
              </w:rPr>
              <w:t>​​ ​</w:t>
            </w:r>
          </w:p>
        </w:tc>
        <w:tc>
          <w:tcPr>
            <w:tcW w:w="600" w:type="dxa"/>
            <w:vAlign w:val="bottom"/>
            <w:gridSpan w:val="3"/>
          </w:tcPr>
          <w:p>
            <w:pPr>
              <w:jc w:val="right"/>
              <w:ind w:right="20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w:t>
            </w:r>
          </w:p>
        </w:tc>
        <w:tc>
          <w:tcPr>
            <w:tcW w:w="30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7"/>
                <w:szCs w:val="27"/>
                <w:color w:val="auto"/>
                <w:vertAlign w:val="superscript"/>
              </w:rPr>
              <w:t>​</w:t>
            </w:r>
          </w:p>
        </w:tc>
        <w:tc>
          <w:tcPr>
            <w:tcW w:w="30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-1662430</wp:posOffset>
            </wp:positionV>
            <wp:extent cx="521208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-1302385</wp:posOffset>
            </wp:positionV>
            <wp:extent cx="521208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-942340</wp:posOffset>
            </wp:positionV>
            <wp:extent cx="521208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-582295</wp:posOffset>
            </wp:positionV>
            <wp:extent cx="521208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1974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-2030730</wp:posOffset>
            </wp:positionV>
            <wp:extent cx="52120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shareholding less than 0.01%</w:t>
      </w:r>
    </w:p>
    <w:p>
      <w:pPr>
        <w:spacing w:after="0" w:line="63" w:lineRule="exact"/>
        <w:rPr>
          <w:sz w:val="20"/>
          <w:szCs w:val="20"/>
          <w:color w:val="auto"/>
        </w:rPr>
      </w:pPr>
    </w:p>
    <w:p>
      <w:pPr>
        <w:jc w:val="both"/>
        <w:ind w:left="1620" w:right="419" w:hanging="360"/>
        <w:spacing w:after="0" w:line="263"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is calculated based on 37,015,899 Ordinary Shares outstanding on the date of this prospectus, assuming the full conversion of the GFC Shares into 290,000 Ordinary Shares, and does not include 11,500,000 Ordinary Shares issuable upon the exercise of outstanding warrants.</w:t>
      </w:r>
    </w:p>
    <w:p>
      <w:pPr>
        <w:spacing w:after="0" w:line="23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Registered Securities offered in this prospectus.</w:t>
      </w:r>
    </w:p>
    <w:p>
      <w:pPr>
        <w:spacing w:after="0" w:line="63"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is managed by Grand Fortune Capital, LLC. Grand Fortune Capital (H.K.) Company Limited (“Grand Fortune”) controls Grand Fortune Capital, LLC (“GFC”) and is managed by an investment committee (“GFCHK Investment Committee”) consisting of three members, Goh Lin Piao, James Ouyang and Ralph Cho. Any action by GFC with respect to shares of ExcelFin Class A Common Stock held directly by the sponsor, including voting and dispositive decisions, requires at least a majority vote of the members of the GFCHK Investment Committee. Each member of the GFCHK Investment Committee disclaims beneficial ownership of the shares held by GFC.</w:t>
      </w:r>
    </w:p>
    <w:p>
      <w:pPr>
        <w:spacing w:after="0" w:line="2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Nautilus Master Fund LP is c/o Periscope Capital Inc, Bay Adelaide Centre 333 Bay St, Ste 1240, Toronto ON M5H 2R2, Canada.</w:t>
      </w:r>
    </w:p>
    <w:p>
      <w:pPr>
        <w:spacing w:after="0" w:line="13" w:lineRule="exact"/>
        <w:rPr>
          <w:rFonts w:ascii="Times New Roman" w:cs="Times New Roman" w:eastAsia="Times New Roman" w:hAnsi="Times New Roman"/>
          <w:sz w:val="18"/>
          <w:szCs w:val="18"/>
          <w:color w:val="auto"/>
        </w:rPr>
      </w:pPr>
    </w:p>
    <w:p>
      <w:pPr>
        <w:ind w:left="1620" w:right="419" w:hanging="360"/>
        <w:spacing w:after="0" w:line="24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Highbridge Tactical Credit Master Fund LP is c/o Highbridge Capital Management LLC, 277 Park Ave, 23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NY 10172.</w:t>
      </w:r>
    </w:p>
    <w:p>
      <w:pPr>
        <w:ind w:left="1620" w:right="419" w:hanging="360"/>
        <w:spacing w:after="0" w:line="23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Highbridge Tactical Credit Institutional Fund Ltd is c/o Highbridge Capital Management LLC, 277 Park Ave, 23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NY 10172.</w:t>
      </w:r>
    </w:p>
    <w:p>
      <w:pPr>
        <w:spacing w:after="0" w:line="1" w:lineRule="exact"/>
        <w:rPr>
          <w:rFonts w:ascii="Times New Roman" w:cs="Times New Roman" w:eastAsia="Times New Roman" w:hAnsi="Times New Roman"/>
          <w:sz w:val="18"/>
          <w:szCs w:val="18"/>
          <w:color w:val="auto"/>
        </w:rPr>
      </w:pPr>
    </w:p>
    <w:p>
      <w:pPr>
        <w:ind w:left="1620" w:right="419" w:hanging="360"/>
        <w:spacing w:after="0" w:line="258"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Radcliffe SPAC Master Fund LP is c/o Radcliffe Capital Management LP, 50 Monument Road, Suite 300, Bala Cynwyd, PA 19004.</w:t>
      </w:r>
    </w:p>
    <w:p>
      <w:pPr>
        <w:spacing w:after="0" w:line="20" w:lineRule="exact"/>
        <w:rPr>
          <w:rFonts w:ascii="Times New Roman" w:cs="Times New Roman" w:eastAsia="Times New Roman" w:hAnsi="Times New Roman"/>
          <w:sz w:val="18"/>
          <w:szCs w:val="18"/>
          <w:color w:val="auto"/>
        </w:rPr>
      </w:pPr>
    </w:p>
    <w:p>
      <w:pPr>
        <w:ind w:left="1620" w:right="419" w:hanging="360"/>
        <w:spacing w:after="0" w:line="24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Fir Tree Value Master Fund LP is c/o Fir Tree Capital Management LP, 500 Fifth Ave,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10110.</w:t>
      </w:r>
    </w:p>
    <w:p>
      <w:pPr>
        <w:ind w:left="1620" w:right="419" w:hanging="360"/>
        <w:spacing w:after="0" w:line="247"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Fir Tree Capital Opportunity Master Fund LP is c/o Fir Tree Capital Management LP, 500 Fifth Ave,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12" w:lineRule="exact"/>
        <w:rPr>
          <w:rFonts w:ascii="Times New Roman" w:cs="Times New Roman" w:eastAsia="Times New Roman" w:hAnsi="Times New Roman"/>
          <w:sz w:val="18"/>
          <w:szCs w:val="18"/>
          <w:color w:val="auto"/>
        </w:rPr>
      </w:pPr>
    </w:p>
    <w:p>
      <w:pPr>
        <w:ind w:left="1620" w:right="419" w:hanging="360"/>
        <w:spacing w:after="0" w:line="274"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Fir Tree Capital Opportunity Master Fund III LP is c/o Fir Tree Capital Management LP, 500 Fifth Ave,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16" w:lineRule="exact"/>
        <w:rPr>
          <w:rFonts w:ascii="Times New Roman" w:cs="Times New Roman" w:eastAsia="Times New Roman" w:hAnsi="Times New Roman"/>
          <w:sz w:val="18"/>
          <w:szCs w:val="18"/>
          <w:color w:val="auto"/>
        </w:rPr>
      </w:pPr>
    </w:p>
    <w:p>
      <w:pPr>
        <w:ind w:left="1620" w:right="419" w:hanging="360"/>
        <w:spacing w:after="0" w:line="263"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FT SOF XIII (SPAC) Holdings LLC is c/o Fir Tree Capital Management LP, 500 Fifth Ave,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26" w:lineRule="exact"/>
        <w:rPr>
          <w:rFonts w:ascii="Times New Roman" w:cs="Times New Roman" w:eastAsia="Times New Roman" w:hAnsi="Times New Roman"/>
          <w:sz w:val="18"/>
          <w:szCs w:val="18"/>
          <w:color w:val="auto"/>
        </w:rPr>
      </w:pPr>
    </w:p>
    <w:p>
      <w:pPr>
        <w:ind w:left="1620" w:right="419" w:hanging="360"/>
        <w:spacing w:after="0" w:line="263"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Boston Patriot Merrimack St LLC is c/o Fir Tree Capital Management LP, 500 Fifth Ave,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10110.</w:t>
      </w:r>
    </w:p>
    <w:p>
      <w:pPr>
        <w:sectPr>
          <w:pgSz w:w="11900" w:h="16838" w:orient="portrait"/>
          <w:cols w:equalWidth="0" w:num="1">
            <w:col w:w="9879"/>
          </w:cols>
          <w:pgMar w:left="580" w:top="97" w:right="1440" w:bottom="1440" w:gutter="0" w:footer="0" w:header="0"/>
        </w:sectPr>
      </w:pPr>
    </w:p>
    <w:p>
      <w:pPr>
        <w:spacing w:after="0" w:line="2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Camac Fund LP is 2 Pheasant Ridge Road, Ossining, NY 10562.</w:t>
      </w:r>
    </w:p>
    <w:p>
      <w:pPr>
        <w:spacing w:after="0" w:line="122" w:lineRule="exact"/>
        <w:rPr>
          <w:rFonts w:ascii="Times New Roman" w:cs="Times New Roman" w:eastAsia="Times New Roman" w:hAnsi="Times New Roman"/>
          <w:sz w:val="18"/>
          <w:szCs w:val="18"/>
          <w:color w:val="auto"/>
        </w:rPr>
      </w:pPr>
    </w:p>
    <w:p>
      <w:pPr>
        <w:ind w:left="1620" w:right="419" w:hanging="360"/>
        <w:spacing w:after="0" w:line="23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Exos Collateralized SPAC Holdings Fund LP is 31 East 32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Third Floor, New York, NY 10016.</w:t>
      </w:r>
    </w:p>
    <w:p>
      <w:pPr>
        <w:spacing w:after="0" w:line="117"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AQR Absolute Return Master Account LP is One Greenwich Plaza, Suite 130, Greenwich, CT 06830.</w:t>
      </w:r>
    </w:p>
    <w:p>
      <w:pPr>
        <w:spacing w:after="0" w:line="9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AQR SPAC Opportunities Offshore Fund LP is One Greenwich Plaza, Suite 130, Greenwich, CT 06830.</w:t>
      </w:r>
    </w:p>
    <w:p>
      <w:pPr>
        <w:spacing w:after="0" w:line="80"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AQR TA Global Alpha Fund LP is One Greenwich Plaza, Suite 130, Greenwich, CT 06830.</w:t>
      </w:r>
    </w:p>
    <w:p>
      <w:pPr>
        <w:spacing w:after="0" w:line="80"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AQR Funds — AQR Diversified Arbitrage Fund is One Greenwich Plaza, Suite 130, Greenwich, CT 06830.</w:t>
      </w:r>
    </w:p>
    <w:p>
      <w:pPr>
        <w:spacing w:after="0" w:line="9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AQR Global Alternative Investment Offshore Fund LP — SPACs Sleeve is One Greenwich Plaza, Suite 130, Greenwich, CT 06830.</w:t>
      </w:r>
    </w:p>
    <w:p>
      <w:pPr>
        <w:spacing w:after="0" w:line="8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James Lee Lapp is 26 Amberley Court, Richmond, RI 02812.</w:t>
      </w:r>
    </w:p>
    <w:p>
      <w:pPr>
        <w:spacing w:after="0" w:line="144" w:lineRule="exact"/>
        <w:rPr>
          <w:rFonts w:ascii="Times New Roman" w:cs="Times New Roman" w:eastAsia="Times New Roman" w:hAnsi="Times New Roman"/>
          <w:sz w:val="18"/>
          <w:szCs w:val="18"/>
          <w:color w:val="auto"/>
        </w:rPr>
      </w:pPr>
    </w:p>
    <w:p>
      <w:pPr>
        <w:ind w:left="1620" w:right="419" w:hanging="360"/>
        <w:spacing w:after="0" w:line="261"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Perga Capital Partners LP is 1000 Biscayne Blvd, Apt 1501, Miami, FL 33132.</w:t>
      </w:r>
    </w:p>
    <w:p>
      <w:pPr>
        <w:spacing w:after="0" w:line="35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TQ Master Fund LP is 331 Park Ave S, Third Floor, New York, NY 10010.</w:t>
      </w:r>
    </w:p>
    <w:p>
      <w:pPr>
        <w:spacing w:after="0" w:line="1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RLH SPAC Fund LP is 119 Hicks Lane, Great Neck, NY 11024.</w:t>
      </w:r>
    </w:p>
    <w:p>
      <w:pPr>
        <w:spacing w:after="0" w:line="122" w:lineRule="exact"/>
        <w:rPr>
          <w:rFonts w:ascii="Times New Roman" w:cs="Times New Roman" w:eastAsia="Times New Roman" w:hAnsi="Times New Roman"/>
          <w:sz w:val="18"/>
          <w:szCs w:val="18"/>
          <w:color w:val="auto"/>
        </w:rPr>
      </w:pPr>
    </w:p>
    <w:p>
      <w:pPr>
        <w:ind w:left="1620" w:right="419" w:hanging="360"/>
        <w:spacing w:after="0" w:line="23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BoothBay Absolute Return Strategies LP is 140 East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New York, NY 10017.</w:t>
      </w:r>
    </w:p>
    <w:p>
      <w:pPr>
        <w:spacing w:after="0" w:line="82" w:lineRule="exact"/>
        <w:rPr>
          <w:rFonts w:ascii="Times New Roman" w:cs="Times New Roman" w:eastAsia="Times New Roman" w:hAnsi="Times New Roman"/>
          <w:sz w:val="18"/>
          <w:szCs w:val="18"/>
          <w:color w:val="auto"/>
        </w:rPr>
      </w:pPr>
    </w:p>
    <w:p>
      <w:pPr>
        <w:ind w:left="1620" w:right="419" w:hanging="360"/>
        <w:spacing w:after="0" w:line="23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Boothbay Diversified Alpha Master Fund LP is 140 East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New York, NY 10017.</w:t>
      </w:r>
    </w:p>
    <w:p>
      <w:pPr>
        <w:spacing w:after="0" w:line="11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Sandia Crest LP is 201 Washington Street, Suite 2600, Boston, MA 02108.</w:t>
      </w:r>
    </w:p>
    <w:p>
      <w:pPr>
        <w:spacing w:after="0" w:line="157"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Crestline Summit Master SPC — Peak SP is 201 Main Street, Fort Worth, TX 76102.</w:t>
      </w:r>
    </w:p>
    <w:p>
      <w:pPr>
        <w:spacing w:after="0" w:line="80"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Crestline Summit Master SPC — Crestline Summit APEX SP is 201 Main Street, Fort Worth, TX 76102.</w:t>
      </w:r>
    </w:p>
    <w:p>
      <w:pPr>
        <w:spacing w:after="0" w:line="9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Walleye Opportunities Master Fund Ltd is 2800 Niagara Lane North, Plymouth, MN 55448.</w:t>
      </w:r>
    </w:p>
    <w:p>
      <w:pPr>
        <w:spacing w:after="0" w:line="80"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Walleye Investments Fund LLC is 2800 Niagara Lane North, Plymouth, MN 55447.</w:t>
      </w:r>
    </w:p>
    <w:p>
      <w:pPr>
        <w:spacing w:after="0" w:line="9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Tenor Opportunity Master Fund Ltd is c/o Tenor Capital, 810 Seventh Ave, Suite 1905, New York, NY 10019.</w:t>
      </w:r>
    </w:p>
    <w:p>
      <w:pPr>
        <w:spacing w:after="0" w:line="8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Fifth Lane Partners Fund LP is 3300 N IH-35, Suite 380, Austin, TX 78705.</w:t>
      </w:r>
    </w:p>
    <w:p>
      <w:pPr>
        <w:spacing w:after="0" w:line="157"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 King International Limited is a company incorporated under the laws of the British Virgin Islands. The registered address of Auto King International Limited is Vistra Corporate Services Centre, Wickhams Cay II, Road Town, Tortola VG1110, BVI. Auto King International Limited is a holding company controlled by Ms. Wu, the founder of the PRC operating entities of our Company. Auto King International Limited acquired its shareholding in Betters Medical in 2021 in relation to the reorganization of the PRC operating entities of Betters Medical and the inception of Betters Medical as a holding company.</w:t>
      </w:r>
    </w:p>
    <w:p>
      <w:pPr>
        <w:spacing w:after="0" w:line="322" w:lineRule="exact"/>
        <w:rPr>
          <w:rFonts w:ascii="Times New Roman" w:cs="Times New Roman" w:eastAsia="Times New Roman" w:hAnsi="Times New Roman"/>
          <w:sz w:val="18"/>
          <w:szCs w:val="18"/>
          <w:color w:val="auto"/>
        </w:rPr>
      </w:pPr>
    </w:p>
    <w:p>
      <w:pPr>
        <w:jc w:val="both"/>
        <w:ind w:left="1620" w:right="41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Brilliant Cut Limited is a company incorporated under the laws of the British Virgin Islands. The registered address of Brilliant Cut Limited is Vistra Corporate Services Centre, Wickhams Cay II, Road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4" w:lineRule="auto"/>
        <w:rPr>
          <w:sz w:val="20"/>
          <w:szCs w:val="20"/>
          <w:color w:val="auto"/>
        </w:rPr>
      </w:pPr>
      <w:r>
        <w:rPr>
          <w:rFonts w:ascii="Times New Roman" w:cs="Times New Roman" w:eastAsia="Times New Roman" w:hAnsi="Times New Roman"/>
          <w:sz w:val="18"/>
          <w:szCs w:val="18"/>
          <w:color w:val="auto"/>
        </w:rPr>
        <w:t>Town, Tortola VG1110, BVI. Brilliant Cut Limited is held by two investors who participated in the series A investments in the PRC operating entities of Betters Medical in June 2018. One of the investors further participated in the series B investments in the PRC operating entities of Betters Medical in December 2018. Brilliant Cut Limited acquired its shareholding in Betters Medical in 2021 in relation to the reorganization of the PRC operating entities of Betters Medical and the inception of Betters Medical as a holding company. The 1,362,369 Ordinary Shares of the Company held by Brilliant Cut Limited following the Pro Rata Distribution, taking into account the Business Combination, would be deemed as acquired at a price of approximately RMB1.9 per share.</w:t>
      </w:r>
    </w:p>
    <w:p>
      <w:pPr>
        <w:spacing w:after="0" w:line="124" w:lineRule="exact"/>
        <w:rPr>
          <w:sz w:val="20"/>
          <w:szCs w:val="20"/>
          <w:color w:val="auto"/>
        </w:rPr>
      </w:pPr>
    </w:p>
    <w:p>
      <w:pPr>
        <w:jc w:val="both"/>
        <w:ind w:left="1620" w:right="419" w:hanging="360"/>
        <w:spacing w:after="0" w:line="254"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Charm Holdings Limited is a company incorporated under the laws of the British Virgin Islands. The registered address of Daily Charm Holdings Limited is Vistra Corporate Services Centre, Wickhams Cay II, Road Town, Tortola VG1110, BVI. Daily Charm Holdings Limited is held by an investor who participated in the series A investments and the series B investments in the PRC operating entities of Betters Medical in July 2018 and December 2018, respectively. Daily Charm Holdings Limited acquired its shareholding in Betters Medical in 2021 in relation to the reorganization of the PRC operating entities of Betters Medical and the inception of Betters Medical as a holding company. The 1,329,505 Ordinary Shares of the Company held by Daily Charm Holdings Limited following the Pro Rata Distribution, taking into account the Business Combination, would be deemed as acquired at a price of approximately RMB1.5 per share.</w:t>
      </w:r>
    </w:p>
    <w:p>
      <w:pPr>
        <w:spacing w:after="0" w:line="336"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Cosmic Discovery Limited is a company incorporated under the laws of the British Virgin Islands. The registered address of Cosmic Discovery Limited is Vistra Corporate Services Centre, Wickhams Cay II, Road Town, Tortola VG1110, BVI. Cosmic Discovery Limited is held by two investors who participated in the series A investments in the PRC operating entities of Betters Medical in August 2018. Cosmic Discovery Limited acquired its shareholding in Betters Medical in 2021 in relation to the reorganization of the PRC operating entities of Betters Medical and the inception of Betters Medical as a holding company. The 765,181 Ordinary Shares of the Company held by Cosmic Discovery Limited following the Pro Rata Distribution, taking into account the Business Combination, would be deemed as acquired at a price of approximately RMB1.4 per share.</w:t>
      </w:r>
    </w:p>
    <w:p>
      <w:pPr>
        <w:spacing w:after="0" w:line="107"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Rainbow Avenue Limited is a company incorporated under the laws of the British Virgin Islands. The registered address of Rainbow Avenue Limited is Vistra Corporate Services Centre, Wickhams Cay II, Road Town, Tortola VG1110, BVI. Rainbow Avenue Limited is held by an investor who participated in the series A investments in the PRC operating entities of Betters Medical in August 2018. Rainbow Avenue Limited acquired its shareholding in Betters Medical in 2021 in relation to the reorganization of the PRC operating entities of Betters Medical and the inception of Betters Medical as a holding company. The 697,840 Ordinary Shares of the Company held by Rainbow Avenue Limited following the Pro Rata Distribution, taking into account the Business Combination, would be deemed as acquired at a price of approximately RMB1.4 per share.</w:t>
      </w:r>
    </w:p>
    <w:p>
      <w:pPr>
        <w:spacing w:after="0" w:line="120"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Mighty Sino International Limited is a company incorporated under the laws of the British Virgin Islands. The registered address of Mighty Sino International Limited is Vistra Corporate Services Centre, Wickhams Cay II, Road Town, Tortola VG1110, BVI. Mighty Sino International Limited are held by two investors who participated in the series A investments and the series B investments in the PRC operating entities of Betters Medical in June 2018 and December 2018, respectively. Mighty Sino International Limited acquired its shareholding in Betters Medical in 2021 in relation to the reorganization of the PRC operating entities of Betters Medical and the inception of Betters Medical as a holding company. The 697,083 Ordinary Shares of the Company held by Mighty Sino International Limited following the Pro Rata Distribution, taking into account the Business Combination, would be deemed as acquired at a price of approximately RMB2.4 per share.</w:t>
      </w:r>
    </w:p>
    <w:p>
      <w:pPr>
        <w:spacing w:after="0" w:line="126"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Pride Supreme Limited is a company incorporated under the laws of the British Virgin Islands. The registered address of Pride Supreme Limited is Vistra Corporate Services Centre, Wickhams Cay II, Road Town, Tortola VG1110, BVI. Pride Supreme Limited is held by an investor who participated in the series A investments in the PRC operating entities of Betters Medical in June 2018. Pride Supreme Limited acquired its shareholding in Betters Medical in 2021 in relation to the reorganization of the PRC operating entities of Betters Medical and the inception of Betters Medical as a holding company. The 480,283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Ordinary Shares of the Company held by Pride Supreme Limited following the Pro Rata Distribution, taking into account the Business Combination, would be deemed as acquired at a price of approximately RMB1.4 per share.</w:t>
      </w:r>
    </w:p>
    <w:p>
      <w:pPr>
        <w:spacing w:after="0" w:line="102" w:lineRule="exact"/>
        <w:rPr>
          <w:sz w:val="20"/>
          <w:szCs w:val="20"/>
          <w:color w:val="auto"/>
        </w:rPr>
      </w:pPr>
    </w:p>
    <w:p>
      <w:pPr>
        <w:jc w:val="both"/>
        <w:ind w:left="1620" w:right="419" w:hanging="360"/>
        <w:spacing w:after="0" w:line="254"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Hero Global Limited is a company incorporated under the laws of the British Virgin Islands. The registered address of Good Hero Global Limited is Vistra Corporate Services Centre, Wickhams Cay II, Road Town, Tortola VG1110, BVI. Good Hero Global Limited is held by two investors who acquired shareholding of the PRC operating entities of Betters Medical from Ms. Haimei Wu in June 2018. Good Hero Global Limited acquired its shareholding in Betters Medical in 2021 in relation to the reorganization of the PRC operating entities of Betters Medical and the inception of Betters Medical as a holding company. The 389,738 Ordinary Shares of the Company held by Good Hero Global Limited following the Pro Rata Distribution, taking into account the Business Combination, would be deemed as acquired at a price of approximately RMB1.9 per share.</w:t>
      </w:r>
    </w:p>
    <w:p>
      <w:pPr>
        <w:spacing w:after="0" w:line="107"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Tiger Goal Limited is a company incorporated under the laws of the British Virgin Islands. The registered address of Tiger Goal Limited is Vistra Corporate Services Centre, Wickhams Cay II, Road Town, Tortola VG1110, BVI. Tiger Goal Limited is held by an investor who participated in the series B investments in the PRC operating entities of Betters Medical in January 2021. Tiger Goal Limited acquired its shareholding in Betters Medical in 2021 in relation to the reorganization of the PRC operating entities of Betters Medical and the inception of Betters Medical as a holding company. The 293,349 Ordinary Shares of the Company held by Tiger Goal Limited following the Pro Rata Distribution, taking into account the Business Combination, would be deemed as acquired at a price of approximately RMB3.8 per share.</w:t>
      </w:r>
    </w:p>
    <w:p>
      <w:pPr>
        <w:spacing w:after="0" w:line="326"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Delight Limited is a company incorporated under the laws of the British Virgin Islands. The registered address of Major Delight Limited is Vistra Corporate Services Centre, Wickhams Cay II, Road Town, Tortola VG1110, BVI. Major Delight Limited is held by two investors who participated in the series A investments in the PRC operating entities of Betters Medical in June 2018. Major Delight Limited acquired its shareholding in Betters Medical in 2021 in relation to the reorganization of the PRC operating entities of Betters Medical and the inception of Betters Medical as a holding company. The 145,410 Ordinary Shares of the Company held by Major Delight Limited following the Pro Rata Distribution, taking into account the Business Combination, would be deemed as acquired at a price of approximately RMB1.4 per share.</w:t>
      </w:r>
    </w:p>
    <w:p>
      <w:pPr>
        <w:spacing w:after="0" w:line="120"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Avenue Limited is a company incorporated under the laws of the British Virgin Islands. The registered address of Success Avenue Limited is Vistra Corporate Services Centre, Wickhams Cay II, Road Town, Tortola VG1110, BVI. Success Avenue Limited is held by an investor who participated in the series B investments in the PRC operating entities of Betters Medical in January 2019. Success Avenue Limited acquired its shareholding in Betters Medical in 2021 in relation to the reorganization of the PRC operating entities of Betters Medical and the inception of Betters Medical as a holding company. The 130,599 Ordinary Shares of the Company held by Success Avenue Limited following the Pro Rata Distribution, taking into account the Business Combination, would be deemed as acquired at a price of approximately RMB4.0 per share.</w:t>
      </w:r>
    </w:p>
    <w:p>
      <w:pPr>
        <w:spacing w:after="0" w:line="107" w:lineRule="exact"/>
        <w:rPr>
          <w:rFonts w:ascii="Times New Roman" w:cs="Times New Roman" w:eastAsia="Times New Roman" w:hAnsi="Times New Roman"/>
          <w:sz w:val="18"/>
          <w:szCs w:val="18"/>
          <w:color w:val="auto"/>
        </w:rPr>
      </w:pPr>
    </w:p>
    <w:p>
      <w:pPr>
        <w:jc w:val="both"/>
        <w:ind w:left="1620" w:right="419" w:hanging="360"/>
        <w:spacing w:after="0" w:line="252"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2,464,985 Ordinary Shares held by Grand Fortune Capital (H.K.) Company Limited (“Grand Fortune”), consisting of 1,881,456 Ordinary Shares held by Grand Fortune after the Pro Rata Distribution and 583,529 Ordinary Shares issued to Grand Fortune at US$6.75 per share; in June 2023, Grand Fortune acquired shareholding of Betters Medical from a previous investor of Betters Medical, which enabled Grand Fortune to received 1,881,456 Ordinary Shares after the Pro Rata Distribution, which, taking into account the Business Combination, would be deemed as acquired at a price of approximately RMB33.5 per share; and (ii) 290,000 GFC Shares; on September 30, 2024, the Company entered into a Subscription Agreement with GFC, pursuant to which the Company issued to GFC at the Closing 290,000 Series A convertible preferred shares, par value US$0.0001 per share, of the Company for a purchase price of $2.9 million. Grand Fortune is a company incorporated under the laws of Hong Kong. The registered address of Grand Fortune is Flat/Rm 2, 5/F, Greenfield Tower, Concordia Plaza, No. 1 Science Museum Road, Tsim Sha Tsui, Kowloon, Hong Kong. GFC is controlled by Grand Fortune. GFC is a limited liability company organized under the laws of the State of Delaware. The address of GFC is 660 Newport Center Drive, Suite 1250, Newport Beach, CA 92660.</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hanging="360"/>
        <w:spacing w:after="0" w:line="25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Courage Elite Limited is a company incorporated under the laws of Hong Kong. The registered address of Courage Elite Limited is Unit 3A, Cheong Sun Tower, 116-118 Wing Lok Street, Sheung Wan. Hong Kong. Courage Elite Limited participated in the series C investments in Betters Medical in June 2021. The 512,848 Ordinary Shares of the Company held by Courage Elite Limited following the Pro Rata Distribution, taking into account the Business Combination, would be deemed as acquired at a price of approximately RMB25.3 per share.</w:t>
      </w:r>
    </w:p>
    <w:p>
      <w:pPr>
        <w:spacing w:after="0" w:line="119"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Venture Capital (Hong Kong) Co., Limited is a company incorporated under the laws of Hong Kong. The registered address of China Venture Capital (Hong Kong) Co., Limited is 15A, Fortis Tower, 77-79 Gloucester Road, Hong Kong. China Venture Capital (Hong Kong) Co., Limited participated in the series C investments in Betters Medical in June 2021. The 256,425 Ordinary Shares of the Company held by China Venture Capital (Hong Kong) Co., Limited following the Pro Rata Distribution, taking into account the Business Combination, would be deemed as acquired at a price of approximately RMB25.3 per share.</w:t>
      </w:r>
    </w:p>
    <w:p>
      <w:pPr>
        <w:spacing w:after="0" w:line="335"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IPE Group Limited is a company incorporated under the laws of Hong Kong. The registered address of IPE Group Limited is Unit 5-6, 23/F, Enterprise Square 3, 39 Wang Chiu Road, Kowloon Bay, Hong Kong. IPE Group Limited participated in the series C investments in Betters Medical in June 2021. The 256,425 Ordinary Shares of the Company held by IPE Group Limited following the Pro Rata Distribution, taking into account the Business Combination, would be deemed as acquired at a price of approximately RMB25.3 per share.</w:t>
      </w:r>
    </w:p>
    <w:p>
      <w:pPr>
        <w:spacing w:after="0" w:line="106"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Weitian Limited is a company incorporated under the laws of the British Virgin Islands. The registered address of Weitian Limited is P.O. Box 957, Offshore Incorporation Centre, Road Town, Tortola, British Virgin Islands. Weitian Limited participated in the series C investments in Betters Medical in June 2021 and subsequently transferred a portion of its shareholding in Betters Medical to a third party in 2023. The 69,835 Ordinary Shares of the Company held by IPE Group Limited following the Pro Rata Distribution, taking into account the Business Combination, would be deemed as acquired at a price of approximately RMB2.2 per share.</w:t>
      </w:r>
    </w:p>
    <w:p>
      <w:pPr>
        <w:spacing w:after="0" w:line="121"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issued 50,000 Ordinary Shares to J.V.B. Financial Group, LLC pursuant to certain engagement letter entered between J.V.B. Financial Group, LLC, acting through its Cohen &amp; Company Capital Markets division and ExcelFin dated February 23, 2023 and amended on September 27, 2024. J.V.B. Financial Group, LLC is a subsidiary of J.V.B. Financial Holdings, LLC which is owned by Cohen &amp; Company, LLC, the operating entity for Cohen &amp; Company Inc., which is controlled by its CEO, Lester Brafman. The person having voting and dispositive power over J.V.B. is Jerry Serowik. The address of the persons and entities listed above is 2929 Arch Street, Ste 1703, Philadelphia, 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are registering the issuance by us of up to 11,500,000 Ordinary Shares issuable upon the exercise of the Warrants. Pursuant to the terms of the Warrants, Ordinary Shares will be distributed to those holders who surrender the Warrants and provide payment of the exercise price to us. Upon receipt of proper notice by any of the holders of the Warrants issued that such holder desires to exercise the warrant, we will, within the time allotted by the agreement governing the warrants, issue instructions to our transfer agent to issue Ordinary Shares to the holder. If, at the time the Public Warrants are exercised, this registration statement is effective and the prospectus included herein is current, the Ordinary Shares issued upon the exercise of the Public Warrants will be issued free of a restrictive legend. We could potentially receive up to an aggregate of US$132,250,000 from the exercise of the Warrants, assuming the exercise in full of all of these warrants for cash. The likelihood that warrant holders will exercise the Warrants and any cash proceeds that we would receive is dependent upon the market price of our Ordinary Shares. Based on the closing price of our Ordinary Shares at US$1.64 on May 21, 2026, which is less than the exercise price of US$11.50 per share pursuant to the terms of the Warrants, we believe holders of the Warrants will be unlikely to exercise their Warrants, and we are unlikely to receive proceeds from the exercise of Warrants.</w:t>
      </w:r>
    </w:p>
    <w:p>
      <w:pPr>
        <w:spacing w:after="0" w:line="13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also registering the resale, from time to time, by the Selling Securityholders, or their permitted transferees, of up to 34,415,562 Ordinary Shares. The aggregate proceeds to the Selling Securityholders from the sale of such securities will be the purchase price of the securities less any discounts and commissions. 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07"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Selling Securityholders reserve the right to accept and, together with their respective agents, to reject, any proposed purchases of Registered Securities to be made directly or through agents. We will not receive any of the proceeds from the sale of the securities registered hereby by the Selling Securityholders.</w:t>
      </w:r>
    </w:p>
    <w:p>
      <w:pPr>
        <w:spacing w:after="0" w:line="10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covered by this prospectus that are beneficially owned by the Selling Securityholders may be offered and sold from time to time by the Selling Securityholders. Notwithstanding the foregoing, Selling Securityholders subject to our insider trading policy, and any members of their immediate families, are subject to our regular pre-clearance procedures for trading of our securities. For lock-up arrangement applicable to certain securities covered by this prospectus that are beneficially owned by the Selling Securityholders, see “Shares Eligible for Future Sale — Lock-up Agreements in our 2025 20-F for details.”</w:t>
      </w:r>
    </w:p>
    <w:p>
      <w:pPr>
        <w:spacing w:after="0" w:line="12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Selling Securityholders may also be subject to the restrictions on transfer of shares of Rule 144 of the Securities Act if such Selling Securityholder is deemed an “affiliate” of us. Persons who may be deemed to be affiliates include individuals or entities that control, are controlled by, or are under common control with, us and may include the executive officers, directors and significant shareholders of us.</w:t>
      </w:r>
    </w:p>
    <w:p>
      <w:pPr>
        <w:spacing w:after="0" w:line="9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term “Selling Securityholders” includes pledgees, donees, transferees, assignees or other successors in interest (that receive any of the securities as a gift, distribution, or other non-sale related transfer) of the Selling Securityholders named in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and any of their permitted transferees may sell their securities offered by this prospectus on any stock exchange, market or trading facility on which the securities are traded or in private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Registered Securities offered by the Selling Securityholders under this prospectus may be sold from time to time to purchasers:</w:t>
      </w:r>
    </w:p>
    <w:p>
      <w:pPr>
        <w:spacing w:after="0" w:line="40"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the Selling Securityholders;</w:t>
      </w:r>
    </w:p>
    <w:p>
      <w:pPr>
        <w:spacing w:after="0" w:line="9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broker-dealers or agents, who may receive compensation in the form of discounts, commissions or agent’s commissions from the Selling Securityholders or the purchasers of the Registered Securities;</w:t>
      </w:r>
    </w:p>
    <w:p>
      <w:pPr>
        <w:spacing w:after="0" w:line="54"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9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(including the issuance by the Selling Securityholders of derivative securities), whether the options or such other derivative securities are listed on an options exchange or otherwise;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 exchange distribution in accordance with the rules of the applicable exchange;</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settlement of short sales,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w:t>
      </w:r>
    </w:p>
    <w:p>
      <w:pPr>
        <w:spacing w:after="0" w:line="14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Any underwriters, broker-dealers or agents who participate in the sale or distribution of the Registered Securities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Registered Securities by the Selling Securityholders.</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Registered Securities may be sold in one or more transactions at:</w:t>
      </w:r>
    </w:p>
    <w:p>
      <w:pPr>
        <w:spacing w:after="0" w:line="117"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prices at the time of sale;</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These sales may be effected in one or more transactions:</w:t>
      </w:r>
    </w:p>
    <w:p>
      <w:pPr>
        <w:spacing w:after="0" w:line="117" w:lineRule="exact"/>
        <w:rPr>
          <w:sz w:val="20"/>
          <w:szCs w:val="20"/>
          <w:color w:val="auto"/>
        </w:rPr>
      </w:pPr>
    </w:p>
    <w:p>
      <w:pPr>
        <w:ind w:left="1800" w:right="4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securities exchange or quotation service on which the Registered Securities may be listed or quoted at the time of sale, including Nasdaq;</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such exchanges or services or in the over-the-counter market;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foregoing.</w:t>
      </w:r>
    </w:p>
    <w:p>
      <w:pPr>
        <w:spacing w:after="0" w:line="15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the sales of our securities, the Selling Securityholders may enter into hedging transactions with broker-dealers or other financial institutions that, in turn, may:</w:t>
      </w:r>
    </w:p>
    <w:p>
      <w:pPr>
        <w:spacing w:after="0" w:line="67"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short sales of the securities in the course of hedging their positions;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securities short and deliver the securities to close out short positions;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the securities to broker-dealers or other financial institutions that in turn may sell the securities;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transactions with broker-dealers or other financial institutions that require the delivery to the broker-dealer or other financial institution of the securities, which the broker-dealer or other financial institution may resell;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 which a broker-dealer makes purchases as a principal for resale for its own account or through other types of transactions.</w:t>
      </w:r>
    </w:p>
    <w:p>
      <w:pPr>
        <w:spacing w:after="0" w:line="9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addition, a Selling Securityholder that is an entity may elect to make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The Selling Securityholder also may transfer the securities in other circumstances, in which case the transferees, pledgees or other successors-in-interest will be the selling beneficial owners for purposes of this prospectus.</w:t>
      </w:r>
    </w:p>
    <w:p>
      <w:pPr>
        <w:spacing w:after="0" w:line="123"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At the time a particular offering of the Registered Securities is made, a prospectus supplement, if required, will be distributed, which will set forth the name of the Selling Securityholders, the aggregate amount of Registered Securities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the Registered Securities by the Selling Securityholders pursuant to this prospectus for certain periods of time for certain reasons, including if the prospectus is required to be supplemented or amended to include additional material information.</w:t>
      </w:r>
    </w:p>
    <w:p>
      <w:pPr>
        <w:spacing w:after="0" w:line="32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any or all of the Registered Securities under this prospectus. Further, we cannot assure you that the Selling Securityholders will not transfer, distribute, devise or gift the Registered Securities by other means not described in this prospectus. In addition, any Registered Securities covered by this prospectus that qualify for sale under Rule 144 of the Securities Act may be sold under Rule 144 rather than under this prospectus. The Registered Securities may be sold in some states only through registered or licensed brokers or dealers. In addition, in some states the Registered Securities may not be sold unless they have been registered or qualified for sale or an exemption from registration or qualification is available and complied with.</w:t>
      </w:r>
    </w:p>
    <w:p>
      <w:pPr>
        <w:spacing w:after="0" w:line="12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Selling Securityholders and any other persons participating in the sale of the Registered Securities will be subject to the Exchange Act. The Exchange Act rules include, without limitation, Regulation M, which may limit the timing of purchases and sales of any of the Registered Securities by the Selling Securityholders and any other person. In addition, Regulation M may restrict the ability of any person engaged in the distribution of the Registered Securities to engage in market-making activities with respect to the particular Registered Securities being distributed. This may affect the marketability of the Registered Securities and the ability of any person or entity to engage in market-making activities with respect to the Registered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With respect to those Registered Securities being registered pursuant to the A&amp;R Registration Rights Agreement, the Subscription Agreement and the Backstop Agreement, we and the Selling Securityholders have agreed to indemnify or hold harmless each other and certain related persons against certain liabilities, including certain liabilities under the Securities Act. The Selling Securityholders may also indemnify any broker or underwriter that participates in transactions involving the sale of the Registered Securities against certain liabilities, including liabilities arising under the Securities Act.</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additional information regarding expenses of registration, see the section titled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the securities offered by this prospectus are set forth in “Item 10. Additional Information — E. Taxation” in our 2025 20-F, which is incorporated by reference herein, as updated by our subsequent filings under the Exchange Act that are incorporated by reference and, if applicable, in any accompanying prospectus supplement or relevant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AND AGENT FOR SERVICE OF PROCESS IN</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UNITED STATES</w:t>
      </w:r>
    </w:p>
    <w:p>
      <w:pPr>
        <w:spacing w:after="0" w:line="12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Cayman Islands to take advantage of certain benefits associated with being a Cayman Islands exempted company:</w:t>
      </w:r>
    </w:p>
    <w:p>
      <w:pPr>
        <w:spacing w:after="0" w:line="54"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54" w:lineRule="exact"/>
        <w:rPr>
          <w:sz w:val="20"/>
          <w:szCs w:val="20"/>
          <w:color w:val="auto"/>
        </w:rPr>
      </w:pPr>
    </w:p>
    <w:p>
      <w:pPr>
        <w:ind w:left="1800" w:right="4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exhaustive body of securities laws than the United States and these securities laws provide significantly less protection to investors;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34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314"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conduct substantially all of our operations outside the United States, and substantially all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1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appointed Puglisi &amp; Associates as our agent upon whom process may be served in any action brought against us under the securities laws of the United States.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4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There is uncertainty as to whether the courts of the Cayman Islands would (1) recognize and enforce judgments of courts of the United States obtained against us or our directors or officers that are predicated upon the civil liability provision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w:t>
      </w:r>
    </w:p>
    <w:p>
      <w:pPr>
        <w:spacing w:after="0" w:line="11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is uncertainty as to whether the courts of China would:</w:t>
      </w:r>
    </w:p>
    <w:p>
      <w:pPr>
        <w:spacing w:after="0" w:line="117" w:lineRule="exact"/>
        <w:rPr>
          <w:sz w:val="20"/>
          <w:szCs w:val="20"/>
          <w:color w:val="auto"/>
        </w:rPr>
      </w:pPr>
    </w:p>
    <w:p>
      <w:pPr>
        <w:jc w:val="both"/>
        <w:ind w:left="1800" w:right="41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9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jurisdiction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it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Holdco in the PRC for disputes relating to contracts or other property interests if they can establish sufficient connection to the PRC for a PRC court to have jurisdiction and meet other procedural requirements. The PRC court will determine whether to accept the complaint in accordance with the PRC Civil Procedures Law. In addition, it will be difficult for U.S. shareholders to originate actions against us in China in accordance with PRC laws because we are incorporated under the laws of the Cayman Islands and it will be difficult for U.S. shareholders, by virtue only of holding the Ordinary Shares, to establish a connection to the PRC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estimate the following expenses in connection with the offer and sale of our Ordinary Shares by the Selling Securityholders. With the exception of the SEC Registration Fee, all amounts are estimates.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940" w:type="dxa"/>
            <w:vAlign w:val="bottom"/>
            <w:gridSpan w:val="3"/>
          </w:tcPr>
          <w:p>
            <w:pPr>
              <w:ind w:left="360"/>
              <w:spacing w:after="0" w:line="202" w:lineRule="exact"/>
              <w:rPr>
                <w:sz w:val="20"/>
                <w:szCs w:val="20"/>
                <w:color w:val="auto"/>
              </w:rPr>
            </w:pPr>
            <w:r>
              <w:rPr>
                <w:rFonts w:ascii="Times New Roman" w:cs="Times New Roman" w:eastAsia="Times New Roman" w:hAnsi="Times New Roman"/>
                <w:sz w:val="18"/>
                <w:szCs w:val="18"/>
                <w:color w:val="auto"/>
              </w:rPr>
              <w:t>FINRA filing fee</w:t>
            </w:r>
          </w:p>
        </w:tc>
        <w:tc>
          <w:tcPr>
            <w:tcW w:w="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940" w:type="dxa"/>
            <w:vAlign w:val="bottom"/>
            <w:gridSpan w:val="3"/>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Legal fees and expenses</w:t>
            </w:r>
          </w:p>
        </w:tc>
        <w:tc>
          <w:tcPr>
            <w:tcW w:w="2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45,000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65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3"/>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940" w:type="dxa"/>
            <w:vAlign w:val="bottom"/>
            <w:gridSpan w:val="3"/>
          </w:tcPr>
          <w:p>
            <w:pPr>
              <w:ind w:left="360"/>
              <w:spacing w:after="0" w:line="202" w:lineRule="exact"/>
              <w:rPr>
                <w:sz w:val="20"/>
                <w:szCs w:val="20"/>
                <w:color w:val="auto"/>
              </w:rPr>
            </w:pPr>
            <w:r>
              <w:rPr>
                <w:rFonts w:ascii="Times New Roman" w:cs="Times New Roman" w:eastAsia="Times New Roman" w:hAnsi="Times New Roman"/>
                <w:sz w:val="18"/>
                <w:szCs w:val="18"/>
                <w:color w:val="auto"/>
              </w:rPr>
              <w:t>Accountants’ fees and expenses</w:t>
            </w:r>
          </w:p>
        </w:tc>
        <w:tc>
          <w:tcPr>
            <w:tcW w:w="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​150,000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940" w:type="dxa"/>
            <w:vAlign w:val="bottom"/>
            <w:gridSpan w:val="3"/>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Printing expenses</w:t>
            </w:r>
          </w:p>
        </w:tc>
        <w:tc>
          <w:tcPr>
            <w:tcW w:w="2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65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3"/>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940" w:type="dxa"/>
            <w:vAlign w:val="bottom"/>
            <w:gridSpan w:val="3"/>
          </w:tcPr>
          <w:p>
            <w:pPr>
              <w:ind w:left="360"/>
              <w:spacing w:after="0" w:line="202" w:lineRule="exact"/>
              <w:rPr>
                <w:sz w:val="20"/>
                <w:szCs w:val="20"/>
                <w:color w:val="auto"/>
              </w:rPr>
            </w:pPr>
            <w:r>
              <w:rPr>
                <w:rFonts w:ascii="Times New Roman" w:cs="Times New Roman" w:eastAsia="Times New Roman" w:hAnsi="Times New Roman"/>
                <w:sz w:val="18"/>
                <w:szCs w:val="18"/>
                <w:color w:val="auto"/>
              </w:rPr>
              <w:t>Transfer agent fees and expenses</w:t>
            </w:r>
          </w:p>
        </w:tc>
        <w:tc>
          <w:tcPr>
            <w:tcW w:w="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940" w:type="dxa"/>
            <w:vAlign w:val="bottom"/>
            <w:gridSpan w:val="3"/>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Miscellaneous costs</w:t>
            </w:r>
          </w:p>
        </w:tc>
        <w:tc>
          <w:tcPr>
            <w:tcW w:w="2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10,000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58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245,568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940" w:type="dxa"/>
            <w:vAlign w:val="bottom"/>
            <w:gridSpan w:val="3"/>
          </w:tcPr>
          <w:p>
            <w:pPr>
              <w:ind w:left="360"/>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20" w:right="419" w:hanging="360"/>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81"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Under agreements to which we are party with the Selling Securityholders, we have agreed to bear all expenses relating to the registration of the resale of the securities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are being represented by Baker &amp; McKenzie LLP with respect to certain legal matters as to United States federal securities and New York State law, and by Conyers Dill &amp; Pearman with respect to certain legal matters as to Cayman Islands law. Baker &amp; McKenzie LLP may rely upon Conyers Dill &amp; Pearman with respect to matters governed by Cayman Islands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of Baird Medical Investment Holdings Limited as of December 31, 2025 and 2024, and for each of the three years in the period ended December 31, 2025, incorporated in this registration statement by reference to the Annual Report on Form 20-F for the year ended December 31, 2025, have been in reliance upon the report of Guangdong Prouden CPAs GP, an independent registered public accounting firm, and 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under the Exchange Act from, among other things, the rules prescribing the furnishing and content of proxy statements to shareholders, and our executive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24"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can request copies of these documents, upon payment of a duplicating fee, by writing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Please call the SEC at 1-800-SEC-0330 or visit the SEC website for further information. We also maintain a website at www.bairdmed.com, but information on our website, however, is not, and should not be deemed to be, a part of this prospectus or any prospectus supplement. You should not regard any information on our website as a part of this prospectus or any prospectus supplement.</w:t>
      </w:r>
    </w:p>
    <w:p>
      <w:pPr>
        <w:spacing w:after="0" w:line="106"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Amended and Restated Memorandum and Articles of Association provide for indemnification of our officers and directors against all actions, proceedings, costs, charges, expenses, losses, damages or liabilities incurred or sustained by such person, other than by reason of such person’s own dishonesty, willful default or fraud, in or about the conduct of our business or affairs (including as a result of any mistake of judgment) or in the execution or discharge of his duties, powers, authorities or discretions, including without prejudice to the generality of the foregoing, any costs, expenses, losses or liabilities incurred by such person in defending (whether successfully or otherwise) any civil proceedings concerning us or our affairs in any court whether in the Cayman Islands or elsewhere.</w:t>
      </w:r>
    </w:p>
    <w:p>
      <w:pPr>
        <w:spacing w:after="0" w:line="12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Under the indemnification agreement, we will agree to indemnify each such person and hold him harmless against expenses, judgments, fines and amounts payable under settlement agreements in connection with any threatened, pending or completed action, suit or proceeding to which he has been made a party or in which he became involved by reason of the fact that he is or was our director or officer. Except with respect to expenses to be reimbursed by us in the event that the indemnified person has been successful on the merits or otherwise in defense of the action, suit or proceeding, our obligations under the indemnification agreements are subject to certain customary restrictions and exceptions.</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addition, we maintain standard policies of insurance under which coverage is provided to our directors and officers against loss rising from claims made by reason of breach of duty or other wrongful act, and to us with respect to payments which may be made by us to such directors and officers pursuant to the above indemnification provision or otherwise as a matter of law.</w:t>
      </w:r>
    </w:p>
    <w:p>
      <w:pPr>
        <w:spacing w:after="0" w:line="11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Exhibit Index beginning on page II-3 of this registration statement.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sz w:val="20"/>
          <w:szCs w:val="20"/>
          <w:color w:val="auto"/>
        </w:rPr>
      </w:pPr>
    </w:p>
    <w:p>
      <w:pPr>
        <w:ind w:left="1980" w:right="419" w:hanging="360"/>
        <w:spacing w:after="0" w:line="282"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7" w:lineRule="exact"/>
        <w:rPr>
          <w:rFonts w:ascii="Times New Roman" w:cs="Times New Roman" w:eastAsia="Times New Roman" w:hAnsi="Times New Roman"/>
          <w:sz w:val="18"/>
          <w:szCs w:val="18"/>
          <w:color w:val="auto"/>
        </w:rPr>
      </w:pPr>
    </w:p>
    <w:p>
      <w:pPr>
        <w:jc w:val="both"/>
        <w:ind w:left="2340" w:right="419" w:hanging="360"/>
        <w:spacing w:after="0" w:line="254" w:lineRule="auto"/>
        <w:tabs>
          <w:tab w:leader="none" w:pos="23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19"/>
        <w:spacing w:after="0" w:line="282" w:lineRule="auto"/>
        <w:rPr>
          <w:sz w:val="20"/>
          <w:szCs w:val="20"/>
          <w:color w:val="auto"/>
        </w:rPr>
      </w:pPr>
      <w:r>
        <w:rPr>
          <w:rFonts w:ascii="Times New Roman" w:cs="Times New Roman" w:eastAsia="Times New Roman" w:hAnsi="Times New Roman"/>
          <w:sz w:val="18"/>
          <w:szCs w:val="18"/>
          <w:color w:val="auto"/>
        </w:rPr>
        <w:t>maximum aggregate offering price set forth in the “Calculation of Registration Fee” table in the effective registration statement.</w:t>
      </w:r>
    </w:p>
    <w:p>
      <w:pPr>
        <w:spacing w:after="0" w:line="67" w:lineRule="exact"/>
        <w:rPr>
          <w:sz w:val="20"/>
          <w:szCs w:val="20"/>
          <w:color w:val="auto"/>
        </w:rPr>
      </w:pPr>
    </w:p>
    <w:p>
      <w:pPr>
        <w:jc w:val="both"/>
        <w:ind w:left="2340" w:right="419" w:hanging="360"/>
        <w:spacing w:after="0" w:line="266" w:lineRule="auto"/>
        <w:tabs>
          <w:tab w:leader="none" w:pos="23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80"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w:t>
      </w:r>
    </w:p>
    <w:p>
      <w:pPr>
        <w:spacing w:after="0" w:line="10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shall be governed by the final adjudication of such issue.</w:t>
      </w:r>
    </w:p>
    <w:p>
      <w:pPr>
        <w:spacing w:after="0" w:line="32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2" w:lineRule="exact"/>
        <w:rPr>
          <w:sz w:val="20"/>
          <w:szCs w:val="20"/>
          <w:color w:val="auto"/>
        </w:rPr>
      </w:pPr>
    </w:p>
    <w:p>
      <w:pPr>
        <w:ind w:left="1800" w:right="4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81"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shall contain the information called for by the applicable registration form with respect to re-offerings by persons who may be deemed underwriters, in addition to the information called for by the other items of the applicable form.</w:t>
      </w:r>
    </w:p>
    <w:p>
      <w:pPr>
        <w:spacing w:after="0" w:line="11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registrant undertakes that every prospectus: (1) that is filed pursuant to the immediately preceding paragraph, or (2) that purports to meet the requirements of Section 10(a)(3) of the Act and is used in connection with an offering of securities subject to Rule 415, shall be filed as a part of an amendment to the registration statement and shall not be used until such amendment is effective, and that, for purposes of</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1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Exhibit</w:t>
      </w:r>
    </w:p>
    <w:p>
      <w:pPr>
        <w:sectPr>
          <w:pgSz w:w="11900" w:h="16838" w:orient="portrait"/>
          <w:cols w:equalWidth="0" w:num="1">
            <w:col w:w="9879"/>
          </w:cols>
          <w:pgMar w:left="580" w:top="97" w:right="1440" w:bottom="1440" w:gutter="0" w:footer="0" w:header="0"/>
        </w:sectPr>
      </w:pP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Number​ ​</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sectPr>
          <w:pgSz w:w="11900" w:h="16838" w:orient="portrait"/>
          <w:cols w:equalWidth="0" w:num="3">
            <w:col w:w="4660" w:space="720"/>
            <w:col w:w="3360" w:space="72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0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2.1†</w:t>
            </w:r>
          </w:p>
        </w:tc>
        <w:tc>
          <w:tcPr>
            <w:tcW w:w="7760" w:type="dxa"/>
            <w:vAlign w:val="bottom"/>
            <w:gridSpan w:val="12"/>
          </w:tcPr>
          <w:p>
            <w:pPr>
              <w:spacing w:after="0" w:line="173"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21">
              <w:r>
                <w:rPr>
                  <w:rFonts w:ascii="Times New Roman" w:cs="Times New Roman" w:eastAsia="Times New Roman" w:hAnsi="Times New Roman"/>
                  <w:sz w:val="18"/>
                  <w:szCs w:val="18"/>
                  <w:color w:val="0000EE"/>
                </w:rPr>
                <w:t>Amended and Restated Memorandum and Articles of Association of Baird Medical Investment</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Holdings Limited, as currently in effect (incorporated by reference to Exhibit 1.1 to the Shell</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Company Report on Form 20-F filed with the SEC on October 9, 2024)</w:t>
              </w:r>
            </w:hyperlink>
          </w:p>
        </w:tc>
        <w:tc>
          <w:tcPr>
            <w:tcW w:w="21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7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22">
              <w:r>
                <w:rPr>
                  <w:rFonts w:ascii="Times New Roman" w:cs="Times New Roman" w:eastAsia="Times New Roman" w:hAnsi="Times New Roman"/>
                  <w:sz w:val="18"/>
                  <w:szCs w:val="18"/>
                  <w:color w:val="0000EE"/>
                </w:rPr>
                <w:t>Specimen Ordinary Share Certificate of Baird Medical Investment Holdings Limited (incorporated</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by reference to Exhibit 2.1 to the Shell Company Report on Form 20-F filed with the SEC on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80" w:type="dxa"/>
            <w:vAlign w:val="bottom"/>
            <w:gridSpan w:val="10"/>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October 9, 2024)</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7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23">
              <w:r>
                <w:rPr>
                  <w:rFonts w:ascii="Times New Roman" w:cs="Times New Roman" w:eastAsia="Times New Roman" w:hAnsi="Times New Roman"/>
                  <w:sz w:val="18"/>
                  <w:szCs w:val="18"/>
                  <w:color w:val="0000EE"/>
                </w:rPr>
                <w:t>Specimen Warrant Certificate of Baird Medical Investment Holdings Limited (incorporated by</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reference to Exhibit 2.2 to the Shell Company Report on Form 20-F filed with the SEC on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80" w:type="dxa"/>
            <w:vAlign w:val="bottom"/>
            <w:gridSpan w:val="10"/>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October 9, 2024)</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7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24">
              <w:r>
                <w:rPr>
                  <w:rFonts w:ascii="Times New Roman" w:cs="Times New Roman" w:eastAsia="Times New Roman" w:hAnsi="Times New Roman"/>
                  <w:sz w:val="18"/>
                  <w:szCs w:val="18"/>
                  <w:color w:val="0000EE"/>
                </w:rPr>
                <w:t>Warrant Agreement, dated October 20, 2021, by and between ExcelFin Acquisition Corp. and</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American Stock Transfer &amp; Trust Company, as warrant agent (incorporated by reference to</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Exhibit 4.1 to Baird Medical Investment Holdings Limited’s Registration Statement on Form F-4,</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filed with the SEC on August 26, 2024)</w:t>
              </w:r>
            </w:hyperlink>
          </w:p>
        </w:tc>
        <w:tc>
          <w:tcPr>
            <w:tcW w:w="4500" w:type="dxa"/>
            <w:vAlign w:val="bottom"/>
            <w:gridSpan w:val="6"/>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7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25">
              <w:r>
                <w:rPr>
                  <w:rFonts w:ascii="Times New Roman" w:cs="Times New Roman" w:eastAsia="Times New Roman" w:hAnsi="Times New Roman"/>
                  <w:sz w:val="18"/>
                  <w:szCs w:val="18"/>
                  <w:color w:val="0000EE"/>
                </w:rPr>
                <w:t>Warrant Assignment, Assumption and Amendment Agreement, dated October 1, 2024, by and</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among ExcelFin Acquisition Corp., Baird Medical Investment Holdings Limited and American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Stock Transfer &amp; Trust Company, LLC, in its capacity as Warrant Agent (incorporated by</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reference to Exhibit 4.7 to the Shell Company Report on Form 20-F filed with the SEC on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80" w:type="dxa"/>
            <w:vAlign w:val="bottom"/>
            <w:gridSpan w:val="10"/>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October 9, 2024)</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7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26">
              <w:r>
                <w:rPr>
                  <w:rFonts w:ascii="Times New Roman" w:cs="Times New Roman" w:eastAsia="Times New Roman" w:hAnsi="Times New Roman"/>
                  <w:sz w:val="18"/>
                  <w:szCs w:val="18"/>
                  <w:color w:val="0000EE"/>
                </w:rPr>
                <w:t>Opinion of Conyers Dill &amp; Pearman as to the validity of the Ordinary Shares of Baird Medical</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Investment Holdings Limited</w:t>
              </w:r>
            </w:hyperlink>
          </w:p>
        </w:tc>
        <w:tc>
          <w:tcPr>
            <w:tcW w:w="5280" w:type="dxa"/>
            <w:vAlign w:val="bottom"/>
            <w:tcBorders>
              <w:top w:val="single" w:sz="8" w:color="0000EE"/>
            </w:tcBorders>
            <w:gridSpan w:val="7"/>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7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27">
              <w:r>
                <w:rPr>
                  <w:rFonts w:ascii="Times New Roman" w:cs="Times New Roman" w:eastAsia="Times New Roman" w:hAnsi="Times New Roman"/>
                  <w:sz w:val="18"/>
                  <w:szCs w:val="18"/>
                  <w:color w:val="0000EE"/>
                </w:rPr>
                <w:t>Opinion of Baker &amp; McKenzie LLP as to the validity of the Warrants of Baird Medical Investment</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Holdings Limited</w:t>
              </w:r>
            </w:hyperlink>
          </w:p>
        </w:tc>
        <w:tc>
          <w:tcPr>
            <w:tcW w:w="616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23.1</w:t>
            </w:r>
          </w:p>
        </w:tc>
        <w:tc>
          <w:tcPr>
            <w:tcW w:w="7700" w:type="dxa"/>
            <w:vAlign w:val="bottom"/>
            <w:gridSpan w:val="11"/>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Consent of Guangdong Prouden CPAs GP</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7"/>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23.4†</w:t>
            </w:r>
          </w:p>
        </w:tc>
        <w:tc>
          <w:tcPr>
            <w:tcW w:w="220" w:type="dxa"/>
            <w:vAlign w:val="bottom"/>
            <w:vMerge w:val="continue"/>
          </w:tcPr>
          <w:p>
            <w:pPr>
              <w:spacing w:after="0"/>
              <w:rPr>
                <w:sz w:val="20"/>
                <w:szCs w:val="20"/>
                <w:color w:val="auto"/>
              </w:rPr>
            </w:pPr>
          </w:p>
        </w:tc>
        <w:tc>
          <w:tcPr>
            <w:tcW w:w="7480" w:type="dxa"/>
            <w:vAlign w:val="bottom"/>
            <w:gridSpan w:val="10"/>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Consent of Conyers Dill &amp; Pearman (included in Exhibit 5.1)</w:t>
              </w:r>
            </w:hyperlink>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Consent of Baker &amp; McKenzie LLP (included in Exhibit 5.2)</w:t>
              </w:r>
            </w:hyperlink>
          </w:p>
        </w:tc>
        <w:tc>
          <w:tcPr>
            <w:tcW w:w="27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Power of Attorney (included on signature page to the initial</w:t>
              </w:r>
            </w:hyperlink>
          </w:p>
        </w:tc>
        <w:tc>
          <w:tcPr>
            <w:tcW w:w="2880" w:type="dxa"/>
            <w:vAlign w:val="bottom"/>
            <w:gridSpan w:val="4"/>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filing of this Registration Statement)</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Filing Fee Table</w:t>
              </w:r>
            </w:hyperlink>
          </w:p>
        </w:tc>
        <w:tc>
          <w:tcPr>
            <w:tcW w:w="6060" w:type="dxa"/>
            <w:vAlign w:val="bottom"/>
            <w:tcBorders>
              <w:top w:val="single" w:sz="8" w:color="0000EE"/>
            </w:tcBorders>
            <w:gridSpan w:val="8"/>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hanging="360"/>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Guangzhou, People’s Republic of China, on May 22, 2026.</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Baird Medical investment Holdings Limited</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/s/ Haimei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43180</wp:posOffset>
            </wp:positionV>
            <wp:extent cx="20574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Name: Haimei Wu</w:t>
      </w:r>
    </w:p>
    <w:p>
      <w:pPr>
        <w:spacing w:after="0" w:line="36" w:lineRule="exact"/>
        <w:rPr>
          <w:sz w:val="20"/>
          <w:szCs w:val="20"/>
          <w:color w:val="auto"/>
        </w:rPr>
      </w:pPr>
    </w:p>
    <w:p>
      <w:pPr>
        <w:ind w:left="1620"/>
        <w:spacing w:after="0"/>
        <w:tabs>
          <w:tab w:leader="none" w:pos="2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3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on May 22, 2026.</w:t>
      </w:r>
    </w:p>
    <w:p>
      <w:pPr>
        <w:sectPr>
          <w:pgSz w:w="11900" w:h="16838" w:orient="portrait"/>
          <w:cols w:equalWidth="0" w:num="1">
            <w:col w:w="9879"/>
          </w:cols>
          <w:pgMar w:left="580" w:top="97" w:right="1440" w:bottom="1440" w:gutter="0" w:footer="0" w:header="0"/>
        </w:sectPr>
      </w:pP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 w:type="dxa"/>
            <w:vAlign w:val="bottom"/>
            <w:tcBorders>
              <w:bottom w:val="single" w:sz="8" w:color="auto"/>
            </w:tcBorders>
          </w:tcPr>
          <w:p>
            <w:pPr>
              <w:spacing w:after="0"/>
              <w:rPr>
                <w:sz w:val="19"/>
                <w:szCs w:val="19"/>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58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Haimei Wu</w:t>
            </w:r>
          </w:p>
        </w:tc>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54"/>
        </w:trPr>
        <w:tc>
          <w:tcPr>
            <w:tcW w:w="346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Haimei Wu</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38"/>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2"/>
        </w:trPr>
        <w:tc>
          <w:tcPr>
            <w:tcW w:w="2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Jie Li</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2"/>
        </w:trPr>
        <w:tc>
          <w:tcPr>
            <w:tcW w:w="2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 Hou</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2"/>
        </w:trPr>
        <w:tc>
          <w:tcPr>
            <w:tcW w:w="2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Quan Qiu</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2"/>
        </w:trPr>
        <w:tc>
          <w:tcPr>
            <w:tcW w:w="2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Douglas Ragan III</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2"/>
        </w:trPr>
        <w:tc>
          <w:tcPr>
            <w:tcW w:w="2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Mingzhao Xing</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2"/>
        </w:trPr>
        <w:tc>
          <w:tcPr>
            <w:tcW w:w="2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Lijian Xu</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3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Gabrielle Bilciu-Wolfson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-3242945</wp:posOffset>
            </wp:positionV>
            <wp:extent cx="21945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-2728595</wp:posOffset>
            </wp:positionV>
            <wp:extent cx="21945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2194560" cy="8890"/>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-2214245</wp:posOffset>
            </wp:positionV>
            <wp:extent cx="21945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2194560" cy="8890"/>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-1699895</wp:posOffset>
            </wp:positionV>
            <wp:extent cx="21945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-1185545</wp:posOffset>
            </wp:positionV>
            <wp:extent cx="21945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-671195</wp:posOffset>
            </wp:positionV>
            <wp:extent cx="21945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-173990</wp:posOffset>
            </wp:positionV>
            <wp:extent cx="21945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/s/ Haimei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51435</wp:posOffset>
            </wp:positionV>
            <wp:extent cx="20574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Name:  Haimei Wu</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Attorney-in-fact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74"/>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7"/>
        </w:trPr>
        <w:tc>
          <w:tcPr>
            <w:tcW w:w="4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Acting Chief Financial Officer</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8"/>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2"/>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810"/>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810"/>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810"/>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810"/>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770"/>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bl>
    <w:p>
      <w:pPr>
        <w:spacing w:after="0" w:line="1675" w:lineRule="exact"/>
        <w:rPr>
          <w:sz w:val="20"/>
          <w:szCs w:val="20"/>
          <w:color w:val="auto"/>
        </w:rPr>
      </w:pPr>
    </w:p>
    <w:p>
      <w:pPr>
        <w:sectPr>
          <w:pgSz w:w="11900" w:h="16838" w:orient="portrait"/>
          <w:cols w:equalWidth="0" w:num="2">
            <w:col w:w="4920" w:space="20"/>
            <w:col w:w="4939"/>
          </w:cols>
          <w:pgMar w:left="580" w:top="97" w:right="1440" w:bottom="1440" w:gutter="0" w:footer="0" w:header="0"/>
          <w:type w:val="continuous"/>
        </w:sectPr>
      </w:pPr>
    </w:p>
    <w:p>
      <w:pPr>
        <w:spacing w:after="0" w:line="1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Baird Medical Investment Holdings Limited, has signed this registration statement or amendment thereto in Newark, Delaware on May 22, 2026.</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43180</wp:posOffset>
            </wp:positionV>
            <wp:extent cx="20574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36" w:lineRule="exact"/>
        <w:rPr>
          <w:sz w:val="20"/>
          <w:szCs w:val="20"/>
          <w:color w:val="auto"/>
        </w:rPr>
      </w:pPr>
    </w:p>
    <w:p>
      <w:pPr>
        <w:ind w:left="1620"/>
        <w:spacing w:after="0"/>
        <w:tabs>
          <w:tab w:leader="none" w:pos="2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150495</wp:posOffset>
            </wp:positionV>
            <wp:extent cx="1988820" cy="3683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198882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line="206" w:lineRule="exact"/>
        <w:rPr>
          <w:sz w:val="20"/>
          <w:szCs w:val="20"/>
          <w:color w:val="auto"/>
        </w:rPr>
      </w:pPr>
      <w:r>
        <w:rPr>
          <w:rFonts w:ascii="SimSun" w:cs="SimSun" w:eastAsia="SimSun" w:hAnsi="SimSun"/>
          <w:sz w:val="18"/>
          <w:szCs w:val="18"/>
          <w:color w:val="auto"/>
        </w:rPr>
        <w:t>广东宝臻会计师事务所（普通合伙）</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Ste. 2201, GDH Bay City Centre,</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 Zhujiang West Rd., Guangzhou</w:t>
      </w:r>
    </w:p>
    <w:p>
      <w:pPr>
        <w:spacing w:after="0" w:line="9" w:lineRule="exact"/>
        <w:rPr>
          <w:sz w:val="20"/>
          <w:szCs w:val="20"/>
          <w:color w:val="auto"/>
        </w:rPr>
      </w:pPr>
    </w:p>
    <w:p>
      <w:pPr>
        <w:jc w:val="right"/>
        <w:spacing w:after="0" w:line="219" w:lineRule="exact"/>
        <w:rPr>
          <w:sz w:val="20"/>
          <w:szCs w:val="20"/>
          <w:color w:val="auto"/>
        </w:rPr>
      </w:pPr>
      <w:r>
        <w:rPr>
          <w:rFonts w:ascii="SimSun" w:cs="SimSun" w:eastAsia="SimSun" w:hAnsi="SimSun"/>
          <w:sz w:val="18"/>
          <w:szCs w:val="18"/>
          <w:color w:val="auto"/>
        </w:rPr>
        <w:t>广州市天河区珠江西路</w:t>
      </w:r>
      <w:r>
        <w:rPr>
          <w:rFonts w:ascii="Times New Roman" w:cs="Times New Roman" w:eastAsia="Times New Roman" w:hAnsi="Times New Roman"/>
          <w:sz w:val="18"/>
          <w:szCs w:val="18"/>
          <w:color w:val="auto"/>
        </w:rPr>
        <w:t xml:space="preserve"> 21 </w:t>
      </w:r>
      <w:r>
        <w:rPr>
          <w:rFonts w:ascii="SimSun" w:cs="SimSun" w:eastAsia="SimSun" w:hAnsi="SimSun"/>
          <w:sz w:val="18"/>
          <w:szCs w:val="18"/>
          <w:color w:val="auto"/>
        </w:rPr>
        <w:t>号</w:t>
      </w:r>
    </w:p>
    <w:p>
      <w:pPr>
        <w:spacing w:after="0" w:line="19" w:lineRule="exact"/>
        <w:rPr>
          <w:sz w:val="20"/>
          <w:szCs w:val="20"/>
          <w:color w:val="auto"/>
        </w:rPr>
      </w:pPr>
    </w:p>
    <w:p>
      <w:pPr>
        <w:jc w:val="right"/>
        <w:spacing w:after="0" w:line="219" w:lineRule="exact"/>
        <w:rPr>
          <w:sz w:val="20"/>
          <w:szCs w:val="20"/>
          <w:color w:val="auto"/>
        </w:rPr>
      </w:pPr>
      <w:r>
        <w:rPr>
          <w:rFonts w:ascii="SimSun" w:cs="SimSun" w:eastAsia="SimSun" w:hAnsi="SimSun"/>
          <w:sz w:val="18"/>
          <w:szCs w:val="18"/>
          <w:color w:val="auto"/>
        </w:rPr>
        <w:t>粤海金融中心</w:t>
      </w:r>
      <w:r>
        <w:rPr>
          <w:rFonts w:ascii="Times New Roman" w:cs="Times New Roman" w:eastAsia="Times New Roman" w:hAnsi="Times New Roman"/>
          <w:sz w:val="18"/>
          <w:szCs w:val="18"/>
          <w:color w:val="auto"/>
        </w:rPr>
        <w:t xml:space="preserve"> 2201 </w:t>
      </w:r>
      <w:r>
        <w:rPr>
          <w:rFonts w:ascii="SimSun" w:cs="SimSun" w:eastAsia="SimSun" w:hAnsi="SimSun"/>
          <w:sz w:val="18"/>
          <w:szCs w:val="18"/>
          <w:color w:val="auto"/>
        </w:rPr>
        <w:t>室</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Post-effective Amendment No. 1 to Form F-1 on Form F-3 of Baird Medical Investment Holdings Limited of our report dated April 24, 2026, with respect to our audits of the consolidated financial statements of Baird Medical Investment Holdings Limited as of December 31, 2025 and 2024 and for the years ended December 31, 2025, 2024 and 2023, appearing in the Annual Report on Form 20-F of Baird Medical Investment Holdings Limited for the year ended December 31, 2025. We also consent to the reference to our firm under the heading “Experts” in the Prospectus, which is part of this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Guangdong Prouden CPAs GP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Prouden CPAs GP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2"/>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2"/>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2"/>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lowerRoman"/>
      <w:start w:val="1"/>
    </w:lvl>
  </w:abstractNum>
  <w:abstractNum w:abstractNumId="16">
    <w:nsid w:val="440BADFC"/>
    <w:multiLevelType w:val="hybridMultilevel"/>
    <w:lvl w:ilvl="0">
      <w:lvlJc w:val="left"/>
      <w:lvlText w:val="(%1)"/>
      <w:numFmt w:val="lowerRoman"/>
      <w:start w:val="1"/>
    </w:lvl>
  </w:abstractNum>
  <w:abstractNum w:abstractNumId="17">
    <w:nsid w:val="5072367"/>
    <w:multiLevelType w:val="hybridMultilevel"/>
    <w:lvl w:ilvl="0">
      <w:lvlJc w:val="left"/>
      <w:lvlText w:val="•"/>
      <w:numFmt w:val="bullet"/>
      <w:start w:val="1"/>
    </w:lvl>
    <w:lvl w:ilvl="1">
      <w:lvlJc w:val="left"/>
      <w:lvlText w:val="(%2)"/>
      <w:numFmt w:val="lowerRoman"/>
      <w:start w:val="2"/>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lowerLetter"/>
      <w:start w:val="2"/>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lowerLetter"/>
      <w:start w:val="1"/>
    </w:lvl>
  </w:abstractNum>
  <w:abstractNum w:abstractNumId="25">
    <w:nsid w:val="2D517796"/>
    <w:multiLevelType w:val="hybridMultilevel"/>
    <w:lvl w:ilvl="0">
      <w:lvlJc w:val="left"/>
      <w:lvlText w:val="(%1)"/>
      <w:numFmt w:val="decimal"/>
      <w:start w:val="9"/>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lowerLetter"/>
      <w:start w:val="2"/>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lvl w:ilvl="1">
      <w:lvlJc w:val="left"/>
      <w:lvlText w:val="(%2)"/>
      <w:numFmt w:val="lowerRoman"/>
      <w:start w:val="4"/>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3"/>
    </w:lvl>
  </w:abstractNum>
  <w:abstractNum w:abstractNumId="37">
    <w:nsid w:val="4B588F54"/>
    <w:multiLevelType w:val="hybridMultilevel"/>
    <w:lvl w:ilvl="0">
      <w:lvlJc w:val="left"/>
      <w:lvlText w:val="(%1)"/>
      <w:numFmt w:val="decimal"/>
      <w:start w:val="35"/>
    </w:lvl>
  </w:abstractNum>
  <w:abstractNum w:abstractNumId="38">
    <w:nsid w:val="542289EC"/>
    <w:multiLevelType w:val="hybridMultilevel"/>
    <w:lvl w:ilvl="0">
      <w:lvlJc w:val="left"/>
      <w:lvlText w:val="(%1)"/>
      <w:numFmt w:val="decimal"/>
      <w:start w:val="40"/>
    </w:lvl>
  </w:abstractNum>
  <w:abstractNum w:abstractNumId="39">
    <w:nsid w:val="6DE91B18"/>
    <w:multiLevelType w:val="hybridMultilevel"/>
    <w:lvl w:ilvl="0">
      <w:lvlJc w:val="left"/>
      <w:lvlText w:val="(%1)"/>
      <w:numFmt w:val="decimal"/>
      <w:start w:val="45"/>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lvl w:ilvl="1">
      <w:lvlJc w:val="left"/>
      <w:lvlText w:val="%2."/>
      <w:numFmt w:val="lowerRoman"/>
      <w:start w:val="1"/>
    </w:lvl>
  </w:abstractNum>
  <w:abstractNum w:abstractNumId="50">
    <w:nsid w:val="12E685FB"/>
    <w:multiLevelType w:val="hybridMultilevel"/>
    <w:lvl w:ilvl="0">
      <w:lvlJc w:val="left"/>
      <w:lvlText w:val="%1"/>
      <w:numFmt w:val="decimal"/>
      <w:start w:val="1"/>
    </w:lvl>
    <w:lvl w:ilvl="1">
      <w:lvlJc w:val="left"/>
      <w:lvlText w:val="%2."/>
      <w:numFmt w:val="lowerRoman"/>
      <w:start w:val="3"/>
    </w:lvl>
  </w:abstractNum>
  <w:abstractNum w:abstractNumId="51">
    <w:nsid w:val="70C6A529"/>
    <w:multiLevelType w:val="hybridMultilevel"/>
    <w:lvl w:ilvl="0">
      <w:lvlJc w:val="left"/>
      <w:lvlText w:val="(%1)"/>
      <w:numFmt w:val="decimal"/>
      <w:start w:val="2"/>
    </w:lvl>
    <w:lvl w:ilvl="1">
      <w:lvlJc w:val="left"/>
      <w:lvlText w:val="%2"/>
      <w:numFmt w:val="lowerRoman"/>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jpeg"/><Relationship Id="rId145" Type="http://schemas.openxmlformats.org/officeDocument/2006/relationships/image" Target="media/image128.png"/><Relationship Id="rId53" Type="http://schemas.openxmlformats.org/officeDocument/2006/relationships/hyperlink" Target="https://www.sec.gov/ix?doc=/Archives/edgar/data/1982444/000110465926048641/bdmd-20251231x20f.htm" TargetMode="External"/><Relationship Id="rId121" Type="http://schemas.openxmlformats.org/officeDocument/2006/relationships/hyperlink" Target="https://www.sec.gov/Archives/edgar/data/1982444/000110465924107388/tm2425701d1_ex1-1.htm" TargetMode="External"/><Relationship Id="rId122" Type="http://schemas.openxmlformats.org/officeDocument/2006/relationships/hyperlink" Target="https://www.sec.gov/Archives/edgar/data/1982444/000110465924107388/tm2425701d1_ex2-1.htm" TargetMode="External"/><Relationship Id="rId123" Type="http://schemas.openxmlformats.org/officeDocument/2006/relationships/hyperlink" Target="https://www.sec.gov/Archives/edgar/data/1982444/000110465924107388/tm2425701d1_ex2-2.htm" TargetMode="External"/><Relationship Id="rId124" Type="http://schemas.openxmlformats.org/officeDocument/2006/relationships/hyperlink" Target="http://www.sec.gov/Archives/edgar/data/1852749/000110465921129843/tm2114962d14_ex4-1.htm" TargetMode="External"/><Relationship Id="rId125" Type="http://schemas.openxmlformats.org/officeDocument/2006/relationships/hyperlink" Target="https://www.sec.gov/Archives/edgar/data/1982444/000110465924107388/tm2425701d1_ex4-7.htm" TargetMode="External"/><Relationship Id="rId126" Type="http://schemas.openxmlformats.org/officeDocument/2006/relationships/hyperlink" Target="https://www.sec.gov/Archives/edgar/data/1982444/000110465925004489/tm2427701d4_ex5-1.htm" TargetMode="External"/><Relationship Id="rId127" Type="http://schemas.openxmlformats.org/officeDocument/2006/relationships/hyperlink" Target="http://www.sec.gov/Archives/edgar/data/1982444/000110465925075674/tm2427701d8_ex5-2.htm" TargetMode="External"/><Relationship Id="rId128" Type="http://schemas.openxmlformats.org/officeDocument/2006/relationships/hyperlink" Target="https://www.sec.gov/Archives/edgar/data/1982444/000110465924119358/tm2427701-1_f1.htm#tSIG" TargetMode="External"/><Relationship Id="rId129" Type="http://schemas.openxmlformats.org/officeDocument/2006/relationships/hyperlink" Target="https://www.sec.gov/Archives/edgar/data/1982444/000110465925004489/tm2427701d4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2026-05-22T08:11:27Z</dcterms:created>
  <dcterms:modified xsi:type="dcterms:W3CDTF">2026-05-22T08:11:27Z</dcterms:modified>
</cp:coreProperties>
</file>