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Baird Medical Investment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Grand Fortune Capital Co., LTD</w:t>
              <w:br/>
              <w:t>Flat/Rm 2, 5/F, Greenfield Tower, Concordia Plaza, No. 1 Science Museum Rd</w:t>
              <w:br/>
              <w:t>Tsim Sha Tsui, Kln, K3, 000000</w:t>
              <w:br/>
              <w:t>267-254-7178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ExcelFin SPAC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4,249,031.00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4,249,031.00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4,249,031.00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Grand Fortune Capital (HK)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7,004,016.00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7,004,016.00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7,004,016.00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Grand Fortune Capital,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290,000.00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290,000.00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Baird Medical Investment Holdings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Room 202, 2/F, Baide Bldg, Bldg 11, No.1, Rongtong Street, Yuexiu District, Guangzhou, CHINA , 000000.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Issuer's Ordinary Shares are listed on The Nasdaq Stock Market under the symbol "BDMD."</w:t>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This Schedule 13D is filed by: (i) ExcelFin SPAC LLC, a Delaware limited liability company ("ExcelFin"); (ii) Grand Fortune Capital (HK) Company Limited, a Hong Kong company ("GFCHK"); and (iii) Grand Fortune Capital LLC, a Delaware limited liability company ("GFC").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The business address of ExcelFin is 100 Kingsley Park Dr., Fort Mill, South Carolina 29715. The business address of GFCHK is Flat/Rm 2, 5/F, Greenfield Tower, Concordia Plaza, No. 1 Science Museum Road, Tsim Sha Tsui, Kln, Hong Kong. The business address of GFC is 16000 Ventura Blvd Ste 1000, Encino, CA.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Principal business: ExcelFin is an investment vehicle that served as sponsor of ExcelFin Acquisition Corp., which completed a business combination involving the Issuer. GFCHK is an investment holding company. GFC is an investment vehicle affiliated with GFCHK.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During the last five years, none of the Reporting Persons, and to the best of their knowledge none of the directors, executive officers, managing members, or controlling persons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During the last five years, none of the Reporting Persons, and to the best of their knowledge none of the directors, executive officers, managing members, or controlling persons of the Reporting Persons, has been a party to a civil proceeding of a judicial or administrative body of competent jurisdiction as a result of which such person was or is subject to a judgment, decree, or final order enjoining future violations of, or prohibiting or mandating activities subject to, U.S.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0"/>
              <w:jc w:val="left"/>
              <w:rPr/>
            </w:pPr>
            <w:r>
              <w:rPr/>
              <w:t>Citizenship or place of organization: ExcelFin is organized under the laws of the State of Delaware, United States. GFCHK is organized under the laws of Hong Kong. GFC is organized under the laws of the State of Delaware, United States.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The Ordinary Shares beneficially owned by ExcelFin consist of (i) 2,620,625 shares acquired in connection with the business combination involving the Issuer and ExcelFin Acquisition Corp. (the "Business Combination"), including founder or sponsor shares issued to ExcelFin; and (ii) 278,406 shares converted from the aggregate outstanding balance of certain working capital loans provided by ExcelFin and its affiliates at a conversion price of $10.20 per share. GFCHK acquired 2,464,985 Ordinary Shares in connection with the Business Combination, which includes 564,437 shares subject to an earnout. GFC acquired 290,000 shares of Series A Preferred Shares of the Issuer in connection with the Business Combination for $2.9 million, which are convertible into 290,000 Ordinary Shares. The consideration for each Reporting Person's acquisitions consisted of cash and/or securities contributed prior to or in connection with the Business Combination and related financing transactions.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The Reporting Persons acquired the securities of the Issuer for investment purposes. Depending on market conditions, the Issuer's financial position and strategic direction, and other factors, each Reporting Person may from time to time acquire additional securities of the Issuer or dispose of some or all of the securities of the Issuer that it beneficially owns, in the open market, in privately negotiated transactions, or otherwise. The Reporting Persons may engage in discussions with the Issuer's management and board of directors regarding the Issuer's business, operations, capitalization, corporate governance, strategic transactions (including financings, asset sales, mergers or other business combinations), and other matters relating to the Issuer. Except as set forth in this Item 4, the Reporting Persons do not have any present plans or proposals that relate to or would result in any of the actions enumerated in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The following information is based on 36,725,899 Ordinary Shares outstanding as of January 15, 2026, as reported by the Issuer on EDGAR. (i) ExcelFin SPAC LLC: Beneficially owns 4,249,031 Ordinary Shares, representing approximately 11.6% of the outstanding Ordinary Shares. (ii) Grand Fortune Capital LLC: Beneficially owns 290,000 Ordinary Shares on an as-converted basis pursuant to Series A Preferred Shares that are convertible at any time at the holder's election, representing approximately 0.8% of the outstanding Ordinary Shares. (iii) Grand Fortune Capital (HK) Company Limited: Beneficially owns 7,004,016 Ordinary Shares, representing approximately 19.1% of the outstanding Ordinary Shares. This amount includes (i) Ordinary Shares held directly by GFCHK; (ii) Ordinary Shares held directly by ExcelFin described above; and (iii) 290,000 Ordinary Shares issuable upon conversion of Series A Preferred Shares held by GFC that are convertible at any time and therefore deemed to be beneficially owned under Rule 13d-3(d)(1). GFCHK, as the managing member or control person of GFC, may be deemed to beneficially own the securities held by GFC. Grand Fortune Capital (HK) Company Ltd. controls GFC and is managed by a board of managers ("GFCHK Board") consisting of three managers. Any action by GFC with respect to ordinary shares held by GFC or directly by ExcelFin, including voting and dispositive decisions, requires at least a majority vote of the managers of the GFCHK Board. Each manager of the GFCHK Board disclaims beneficial ownership of the shares held by GFC. The Reporting Persons disclaim beneficial ownership of securities reported herein except to the extent of their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See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Except as set forth in this Schedule 13D, none of the Reporting Persons has effected any transactions in the Issuer's securities during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GFC holds Series A Preferred Shares of the Issuer pursuant to the Subscription Agreement dated August 9, 2024, which are convertible at any time at the holder's election into Ordinary Shares, subject to the terms and conditions set forth therein. The Reporting Persons are party to a joint filing agreement pursuant to Rule 13d-1(k), attached hereto as an exhibit. See the Subscription Agreement filed by the Issuer as exhibit 4.11 to its annual report on Form 20-F for the year ended December 31, 2024.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Joint Filing Agreement, dated as of May 5, 2026, by and among ExcelFin SPAC LLC, Grand Fortune Capital (HK) Company Limited, and Grand Fortune Capital LLC, pursuant to Rule 13d-1(k)(1) under the Exchange Act. *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ExcelFin SPAC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Goh Lin Piao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Goh Lin Piao, its Director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Grand Fortune Capital (HK) Co Ltd</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Goh Lin Piao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Goh Lin Piao, its Director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Grand Fortune Capital, LLC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Goh Lin Piao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Goh Lin Piao, its Director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ExcelFin SPAC LLC, By: Grand Fortune Capital, LLC, its Managing Member, By: Grand Fortune Capital (HK) Company Ltd., its Managing Member. Grand Fortune Capital, LLC, By: Grand Fortune Capital (HK) Company Ltd.,its Managing Member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1843</Words>
  <Characters>9863</Characters>
  <CharactersWithSpaces>11596</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